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ACDD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44"/>
          <w:szCs w:val="44"/>
        </w:rPr>
      </w:pPr>
    </w:p>
    <w:p w14:paraId="0137349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bookmarkStart w:id="0" w:name="_Toc30934"/>
      <w:bookmarkStart w:id="1" w:name="_Toc1729"/>
      <w:r>
        <w:rPr>
          <w:rFonts w:hint="eastAsia" w:ascii="方正小标宋简体" w:hAnsi="方正小标宋简体" w:eastAsia="方正小标宋简体" w:cs="方正小标宋简体"/>
          <w:sz w:val="44"/>
          <w:szCs w:val="44"/>
          <w:lang w:val="en-US" w:eastAsia="zh-CN"/>
        </w:rPr>
        <w:t>瑶海嘉山路圣涛牛肉汤店</w:t>
      </w:r>
      <w:bookmarkEnd w:id="0"/>
      <w:bookmarkEnd w:id="1"/>
      <w:r>
        <w:rPr>
          <w:rFonts w:hint="eastAsia" w:ascii="方正小标宋简体" w:hAnsi="方正小标宋简体" w:eastAsia="方正小标宋简体" w:cs="方正小标宋简体"/>
          <w:sz w:val="44"/>
          <w:szCs w:val="44"/>
          <w:lang w:val="en-US" w:eastAsia="zh-CN"/>
        </w:rPr>
        <w:t>“8·24”一般触电事故</w:t>
      </w:r>
      <w:r>
        <w:rPr>
          <w:rFonts w:hint="eastAsia" w:ascii="方正小标宋简体" w:hAnsi="方正小标宋简体" w:eastAsia="方正小标宋简体" w:cs="方正小标宋简体"/>
          <w:sz w:val="44"/>
          <w:szCs w:val="44"/>
        </w:rPr>
        <w:t>整改措施落实</w:t>
      </w:r>
      <w:r>
        <w:rPr>
          <w:rFonts w:hint="eastAsia" w:ascii="方正小标宋简体" w:hAnsi="方正小标宋简体" w:eastAsia="方正小标宋简体" w:cs="方正小标宋简体"/>
          <w:sz w:val="44"/>
          <w:szCs w:val="44"/>
          <w:lang w:eastAsia="zh-CN"/>
        </w:rPr>
        <w:t>情况评估报告</w:t>
      </w:r>
    </w:p>
    <w:p w14:paraId="4F9516D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32"/>
          <w:szCs w:val="32"/>
        </w:rPr>
      </w:pPr>
    </w:p>
    <w:p w14:paraId="3EA08A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sz w:val="32"/>
          <w:szCs w:val="32"/>
        </w:rPr>
      </w:pPr>
      <w:r>
        <w:rPr>
          <w:rFonts w:hint="eastAsia"/>
          <w:spacing w:val="7"/>
          <w:sz w:val="32"/>
          <w:szCs w:val="32"/>
          <w:lang w:val="en-US" w:eastAsia="zh-CN"/>
        </w:rPr>
        <w:t>2024年8月24日10时44分许，瑶海区嘉山路街道淮南路与新蚌埠路交口，大众时代之光小区8幢一商铺发生一起触电事故，造成1人死亡。</w:t>
      </w:r>
    </w:p>
    <w:p w14:paraId="05FD257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spacing w:val="7"/>
          <w:sz w:val="32"/>
          <w:szCs w:val="32"/>
          <w:lang w:val="en-US" w:eastAsia="zh-CN"/>
        </w:rPr>
      </w:pPr>
      <w:r>
        <w:rPr>
          <w:rFonts w:hint="default"/>
          <w:spacing w:val="7"/>
          <w:sz w:val="32"/>
          <w:szCs w:val="32"/>
          <w:lang w:val="en-US" w:eastAsia="zh-CN"/>
        </w:rPr>
        <w:t>根据《生产安全事故防范和整改措施落实情况评估办法》（安委办〔2021〕4号）和《安徽省生产安全事故防范和整改措施落实情况评估办法》（皖安办〔2021〕64号），由</w:t>
      </w:r>
      <w:r>
        <w:rPr>
          <w:rFonts w:hint="eastAsia"/>
          <w:spacing w:val="7"/>
          <w:sz w:val="32"/>
          <w:szCs w:val="32"/>
          <w:lang w:val="en-US" w:eastAsia="zh-CN"/>
        </w:rPr>
        <w:t>区</w:t>
      </w:r>
      <w:r>
        <w:rPr>
          <w:rFonts w:hint="default"/>
          <w:spacing w:val="7"/>
          <w:sz w:val="32"/>
          <w:szCs w:val="32"/>
          <w:lang w:val="en-US" w:eastAsia="zh-CN"/>
        </w:rPr>
        <w:t>应急管理局牵头会同有关部门，组成瑶海嘉山路圣涛牛肉汤店“8·24”一般触电事故防范和整改措施落实情况评估工作组（以下简称评估组</w:t>
      </w:r>
      <w:r>
        <w:rPr>
          <w:rFonts w:hint="eastAsia"/>
          <w:spacing w:val="7"/>
          <w:sz w:val="32"/>
          <w:szCs w:val="32"/>
          <w:lang w:val="en-US" w:eastAsia="zh-CN"/>
        </w:rPr>
        <w:t>），</w:t>
      </w:r>
      <w:r>
        <w:rPr>
          <w:rFonts w:hint="default"/>
          <w:spacing w:val="7"/>
          <w:sz w:val="32"/>
          <w:szCs w:val="32"/>
          <w:lang w:val="en-US" w:eastAsia="zh-CN"/>
        </w:rPr>
        <w:t>对事故整改措施落实情况进行了评估。</w:t>
      </w:r>
    </w:p>
    <w:p w14:paraId="49421EDD">
      <w:pPr>
        <w:keepNext w:val="0"/>
        <w:keepLines w:val="0"/>
        <w:pageBreakBefore w:val="0"/>
        <w:widowControl/>
        <w:kinsoku w:val="0"/>
        <w:wordWrap/>
        <w:overflowPunct/>
        <w:topLinePunct w:val="0"/>
        <w:autoSpaceDE w:val="0"/>
        <w:autoSpaceDN w:val="0"/>
        <w:bidi w:val="0"/>
        <w:adjustRightInd w:val="0"/>
        <w:snapToGrid w:val="0"/>
        <w:spacing w:line="560" w:lineRule="exact"/>
        <w:ind w:firstLine="672" w:firstLineChars="200"/>
        <w:jc w:val="both"/>
        <w:textAlignment w:val="baseline"/>
        <w:outlineLvl w:val="1"/>
        <w:rPr>
          <w:rFonts w:ascii="黑体" w:hAnsi="黑体" w:eastAsia="黑体" w:cs="黑体"/>
          <w:sz w:val="32"/>
          <w:szCs w:val="32"/>
        </w:rPr>
      </w:pPr>
      <w:r>
        <w:rPr>
          <w:rFonts w:ascii="黑体" w:hAnsi="黑体" w:eastAsia="黑体" w:cs="黑体"/>
          <w:spacing w:val="8"/>
          <w:sz w:val="32"/>
          <w:szCs w:val="32"/>
        </w:rPr>
        <w:t>一、评估工作组织及开展情况</w:t>
      </w:r>
    </w:p>
    <w:p w14:paraId="5EAB137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spacing w:val="7"/>
          <w:sz w:val="32"/>
          <w:szCs w:val="32"/>
          <w:lang w:val="en-US" w:eastAsia="zh-CN"/>
        </w:rPr>
      </w:pPr>
      <w:r>
        <w:rPr>
          <w:rFonts w:hint="default"/>
          <w:spacing w:val="7"/>
          <w:sz w:val="32"/>
          <w:szCs w:val="32"/>
          <w:lang w:val="en-US" w:eastAsia="en-US"/>
        </w:rPr>
        <w:t>202</w:t>
      </w:r>
      <w:r>
        <w:rPr>
          <w:rFonts w:hint="eastAsia"/>
          <w:spacing w:val="7"/>
          <w:sz w:val="32"/>
          <w:szCs w:val="32"/>
          <w:lang w:val="en-US" w:eastAsia="zh-CN"/>
        </w:rPr>
        <w:t>5</w:t>
      </w:r>
      <w:r>
        <w:rPr>
          <w:rFonts w:hint="default"/>
          <w:spacing w:val="7"/>
          <w:sz w:val="32"/>
          <w:szCs w:val="32"/>
          <w:lang w:val="en-US" w:eastAsia="en-US"/>
        </w:rPr>
        <w:t>年</w:t>
      </w:r>
      <w:r>
        <w:rPr>
          <w:rFonts w:hint="eastAsia"/>
          <w:spacing w:val="7"/>
          <w:sz w:val="32"/>
          <w:szCs w:val="32"/>
          <w:lang w:val="en-US" w:eastAsia="zh-CN"/>
        </w:rPr>
        <w:t>6</w:t>
      </w:r>
      <w:r>
        <w:rPr>
          <w:rFonts w:hint="default"/>
          <w:spacing w:val="7"/>
          <w:sz w:val="32"/>
          <w:szCs w:val="32"/>
          <w:lang w:val="en-US" w:eastAsia="en-US"/>
        </w:rPr>
        <w:t>月</w:t>
      </w:r>
      <w:r>
        <w:rPr>
          <w:rFonts w:hint="eastAsia"/>
          <w:spacing w:val="7"/>
          <w:sz w:val="32"/>
          <w:szCs w:val="32"/>
          <w:lang w:val="en-US" w:eastAsia="zh-CN"/>
        </w:rPr>
        <w:t>12</w:t>
      </w:r>
      <w:r>
        <w:rPr>
          <w:rFonts w:hint="default"/>
          <w:spacing w:val="7"/>
          <w:sz w:val="32"/>
          <w:szCs w:val="32"/>
          <w:lang w:val="en-US" w:eastAsia="en-US"/>
        </w:rPr>
        <w:t>日，</w:t>
      </w:r>
      <w:r>
        <w:rPr>
          <w:rFonts w:hint="default"/>
          <w:spacing w:val="7"/>
          <w:sz w:val="32"/>
          <w:szCs w:val="32"/>
          <w:lang w:val="en-US" w:eastAsia="zh-CN"/>
        </w:rPr>
        <w:t>瑶海区安全生产（防灾减灾救灾）委员会办公室</w:t>
      </w:r>
      <w:r>
        <w:rPr>
          <w:rFonts w:hint="default"/>
          <w:spacing w:val="7"/>
          <w:sz w:val="32"/>
          <w:szCs w:val="32"/>
          <w:lang w:val="en-US" w:eastAsia="en-US"/>
        </w:rPr>
        <w:t>成立由</w:t>
      </w:r>
      <w:r>
        <w:rPr>
          <w:rFonts w:hint="eastAsia"/>
          <w:spacing w:val="7"/>
          <w:sz w:val="32"/>
          <w:szCs w:val="32"/>
          <w:lang w:val="en-US" w:eastAsia="zh-CN"/>
        </w:rPr>
        <w:t>瑶海区</w:t>
      </w:r>
      <w:r>
        <w:rPr>
          <w:rFonts w:hint="default"/>
          <w:spacing w:val="7"/>
          <w:sz w:val="32"/>
          <w:szCs w:val="32"/>
          <w:lang w:val="en-US" w:eastAsia="en-US"/>
        </w:rPr>
        <w:t>应急局牵头，</w:t>
      </w:r>
      <w:r>
        <w:rPr>
          <w:rFonts w:hint="default"/>
          <w:spacing w:val="7"/>
          <w:sz w:val="32"/>
          <w:szCs w:val="32"/>
          <w:lang w:val="en-US" w:eastAsia="zh-CN"/>
        </w:rPr>
        <w:t>区住建局</w:t>
      </w:r>
      <w:r>
        <w:rPr>
          <w:rFonts w:hint="default"/>
          <w:spacing w:val="7"/>
          <w:sz w:val="32"/>
          <w:szCs w:val="32"/>
          <w:lang w:val="en-US" w:eastAsia="en-US"/>
        </w:rPr>
        <w:t>、</w:t>
      </w:r>
      <w:r>
        <w:rPr>
          <w:rFonts w:hint="eastAsia"/>
          <w:spacing w:val="7"/>
          <w:sz w:val="32"/>
          <w:szCs w:val="32"/>
          <w:lang w:val="en-US" w:eastAsia="zh-CN"/>
        </w:rPr>
        <w:t>嘉山路街道办事处</w:t>
      </w:r>
      <w:r>
        <w:rPr>
          <w:rFonts w:hint="default"/>
          <w:spacing w:val="7"/>
          <w:sz w:val="32"/>
          <w:szCs w:val="32"/>
          <w:lang w:val="en-US" w:eastAsia="en-US"/>
        </w:rPr>
        <w:t>有关人员组成的评估组（见附件1），并依据《瑶海嘉山路圣涛牛肉汤店</w:t>
      </w:r>
      <w:bookmarkStart w:id="2" w:name="_Toc14976"/>
      <w:bookmarkStart w:id="3" w:name="_Toc12170"/>
      <w:bookmarkStart w:id="4" w:name="_Toc24823"/>
      <w:r>
        <w:rPr>
          <w:rFonts w:hint="default"/>
          <w:spacing w:val="7"/>
          <w:sz w:val="32"/>
          <w:szCs w:val="32"/>
          <w:lang w:val="en-US" w:eastAsia="en-US"/>
        </w:rPr>
        <w:t>“8·24”一般触电事故调查报告</w:t>
      </w:r>
      <w:bookmarkEnd w:id="2"/>
      <w:bookmarkEnd w:id="3"/>
      <w:bookmarkEnd w:id="4"/>
      <w:r>
        <w:rPr>
          <w:rFonts w:hint="default"/>
          <w:spacing w:val="7"/>
          <w:sz w:val="32"/>
          <w:szCs w:val="32"/>
          <w:lang w:val="en-US" w:eastAsia="en-US"/>
        </w:rPr>
        <w:t>》，梳理出评估清单（见附件2），评估组采取调阅事故原始档案、查阅相关文件资料、现场检查、听取情况报告等方式，深入开展评估工作。对评估过程中发现的问题，及时向有关部门和相关单位进行反馈，要求立即组织整改。</w:t>
      </w:r>
    </w:p>
    <w:p w14:paraId="45D4AD0F">
      <w:pPr>
        <w:keepNext w:val="0"/>
        <w:keepLines w:val="0"/>
        <w:pageBreakBefore w:val="0"/>
        <w:widowControl/>
        <w:kinsoku w:val="0"/>
        <w:wordWrap/>
        <w:overflowPunct/>
        <w:topLinePunct w:val="0"/>
        <w:autoSpaceDE w:val="0"/>
        <w:autoSpaceDN w:val="0"/>
        <w:bidi w:val="0"/>
        <w:adjustRightInd w:val="0"/>
        <w:snapToGrid w:val="0"/>
        <w:spacing w:line="560" w:lineRule="exact"/>
        <w:ind w:firstLine="672" w:firstLineChars="200"/>
        <w:jc w:val="both"/>
        <w:textAlignment w:val="baseline"/>
        <w:outlineLvl w:val="1"/>
        <w:rPr>
          <w:rFonts w:ascii="黑体" w:hAnsi="黑体" w:eastAsia="黑体" w:cs="黑体"/>
          <w:sz w:val="32"/>
          <w:szCs w:val="32"/>
        </w:rPr>
      </w:pPr>
      <w:r>
        <w:rPr>
          <w:rFonts w:ascii="黑体" w:hAnsi="黑体" w:eastAsia="黑体" w:cs="黑体"/>
          <w:spacing w:val="8"/>
          <w:sz w:val="32"/>
          <w:szCs w:val="32"/>
        </w:rPr>
        <w:t>二、事故整改措施落实情况</w:t>
      </w:r>
    </w:p>
    <w:p w14:paraId="5B04E32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spacing w:val="7"/>
          <w:sz w:val="32"/>
          <w:szCs w:val="32"/>
          <w:lang w:val="en-US" w:eastAsia="zh-CN"/>
        </w:rPr>
      </w:pPr>
      <w:r>
        <w:rPr>
          <w:rFonts w:hint="default"/>
          <w:spacing w:val="7"/>
          <w:sz w:val="32"/>
          <w:szCs w:val="32"/>
          <w:lang w:val="en-US" w:eastAsia="zh-CN"/>
        </w:rPr>
        <w:t>《合肥市瑶湖区人民政府关于瑶海嘉山路圣涛牛肉汤店8·24”一般触电事故处理意见的批复》（</w:t>
      </w:r>
      <w:r>
        <w:rPr>
          <w:rFonts w:hint="eastAsia"/>
          <w:spacing w:val="7"/>
          <w:sz w:val="32"/>
          <w:szCs w:val="32"/>
          <w:lang w:val="en-US" w:eastAsia="zh-CN"/>
        </w:rPr>
        <w:t>瑶</w:t>
      </w:r>
      <w:r>
        <w:rPr>
          <w:rFonts w:hint="default"/>
          <w:spacing w:val="7"/>
          <w:sz w:val="32"/>
          <w:szCs w:val="32"/>
          <w:lang w:val="en-US" w:eastAsia="zh-CN"/>
        </w:rPr>
        <w:t>政秘〔202</w:t>
      </w:r>
      <w:r>
        <w:rPr>
          <w:rFonts w:hint="eastAsia"/>
          <w:spacing w:val="7"/>
          <w:sz w:val="32"/>
          <w:szCs w:val="32"/>
          <w:lang w:val="en-US" w:eastAsia="zh-CN"/>
        </w:rPr>
        <w:t>4</w:t>
      </w:r>
      <w:r>
        <w:rPr>
          <w:rFonts w:hint="default"/>
          <w:spacing w:val="7"/>
          <w:sz w:val="32"/>
          <w:szCs w:val="32"/>
          <w:lang w:val="en-US" w:eastAsia="zh-CN"/>
        </w:rPr>
        <w:t>〕</w:t>
      </w:r>
      <w:r>
        <w:rPr>
          <w:rFonts w:hint="eastAsia"/>
          <w:spacing w:val="7"/>
          <w:sz w:val="32"/>
          <w:szCs w:val="32"/>
          <w:lang w:val="en-US" w:eastAsia="zh-CN"/>
        </w:rPr>
        <w:t>18</w:t>
      </w:r>
      <w:r>
        <w:rPr>
          <w:rFonts w:hint="default"/>
          <w:spacing w:val="7"/>
          <w:sz w:val="32"/>
          <w:szCs w:val="32"/>
          <w:lang w:val="en-US" w:eastAsia="zh-CN"/>
        </w:rPr>
        <w:t>号）印发后，有关部门单位对照各自职责，认真落实各项事故整改措施。</w:t>
      </w:r>
    </w:p>
    <w:p w14:paraId="17FBABE8">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71"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pacing w:val="7"/>
          <w:sz w:val="32"/>
          <w:szCs w:val="32"/>
        </w:rPr>
        <w:t>（一）事故责任追究落实情况</w:t>
      </w:r>
    </w:p>
    <w:p w14:paraId="69DFB7C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1" w:firstLineChars="200"/>
        <w:jc w:val="both"/>
        <w:textAlignment w:val="baseline"/>
        <w:rPr>
          <w:rFonts w:hint="default"/>
          <w:b/>
          <w:bCs/>
          <w:spacing w:val="7"/>
          <w:sz w:val="32"/>
          <w:szCs w:val="32"/>
          <w:lang w:val="en-US" w:eastAsia="zh-CN"/>
        </w:rPr>
      </w:pPr>
      <w:r>
        <w:rPr>
          <w:rFonts w:hint="default"/>
          <w:b/>
          <w:bCs/>
          <w:spacing w:val="7"/>
          <w:sz w:val="32"/>
          <w:szCs w:val="32"/>
          <w:lang w:val="en-US" w:eastAsia="zh-CN"/>
        </w:rPr>
        <w:t>1.行政处罚处理落实情况</w:t>
      </w:r>
    </w:p>
    <w:p w14:paraId="592E09C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spacing w:val="7"/>
          <w:sz w:val="32"/>
          <w:szCs w:val="32"/>
          <w:lang w:val="en-US" w:eastAsia="zh-CN"/>
        </w:rPr>
      </w:pPr>
      <w:r>
        <w:rPr>
          <w:rFonts w:hint="default"/>
          <w:spacing w:val="7"/>
          <w:sz w:val="32"/>
          <w:szCs w:val="32"/>
          <w:lang w:val="en-US" w:eastAsia="zh-CN"/>
        </w:rPr>
        <w:t>夏</w:t>
      </w:r>
      <w:r>
        <w:rPr>
          <w:rFonts w:hint="eastAsia"/>
          <w:spacing w:val="7"/>
          <w:sz w:val="32"/>
          <w:szCs w:val="32"/>
          <w:lang w:val="en-US" w:eastAsia="zh-CN"/>
        </w:rPr>
        <w:t>*</w:t>
      </w:r>
      <w:r>
        <w:rPr>
          <w:rFonts w:hint="default"/>
          <w:spacing w:val="7"/>
          <w:sz w:val="32"/>
          <w:szCs w:val="32"/>
          <w:lang w:val="en-US" w:eastAsia="zh-CN"/>
        </w:rPr>
        <w:t>，202</w:t>
      </w:r>
      <w:r>
        <w:rPr>
          <w:rFonts w:hint="eastAsia"/>
          <w:spacing w:val="7"/>
          <w:sz w:val="32"/>
          <w:szCs w:val="32"/>
          <w:lang w:val="en-US" w:eastAsia="zh-CN"/>
        </w:rPr>
        <w:t>5</w:t>
      </w:r>
      <w:r>
        <w:rPr>
          <w:rFonts w:hint="default"/>
          <w:spacing w:val="7"/>
          <w:sz w:val="32"/>
          <w:szCs w:val="32"/>
          <w:lang w:val="en-US" w:eastAsia="zh-CN"/>
        </w:rPr>
        <w:t>年</w:t>
      </w:r>
      <w:r>
        <w:rPr>
          <w:rFonts w:hint="eastAsia"/>
          <w:spacing w:val="7"/>
          <w:sz w:val="32"/>
          <w:szCs w:val="32"/>
          <w:lang w:val="en-US" w:eastAsia="zh-CN"/>
        </w:rPr>
        <w:t>5</w:t>
      </w:r>
      <w:r>
        <w:rPr>
          <w:rFonts w:hint="default"/>
          <w:spacing w:val="7"/>
          <w:sz w:val="32"/>
          <w:szCs w:val="32"/>
          <w:lang w:val="en-US" w:eastAsia="zh-CN"/>
        </w:rPr>
        <w:t>月</w:t>
      </w:r>
      <w:r>
        <w:rPr>
          <w:rFonts w:hint="eastAsia"/>
          <w:spacing w:val="7"/>
          <w:sz w:val="32"/>
          <w:szCs w:val="32"/>
          <w:lang w:val="en-US" w:eastAsia="zh-CN"/>
        </w:rPr>
        <w:t>23</w:t>
      </w:r>
      <w:r>
        <w:rPr>
          <w:rFonts w:hint="default"/>
          <w:spacing w:val="7"/>
          <w:sz w:val="32"/>
          <w:szCs w:val="32"/>
          <w:lang w:val="en-US" w:eastAsia="zh-CN"/>
        </w:rPr>
        <w:t>日，</w:t>
      </w:r>
      <w:r>
        <w:rPr>
          <w:rFonts w:hint="eastAsia"/>
          <w:spacing w:val="7"/>
          <w:sz w:val="32"/>
          <w:szCs w:val="32"/>
          <w:lang w:val="en-US" w:eastAsia="zh-CN"/>
        </w:rPr>
        <w:t>瑶海区</w:t>
      </w:r>
      <w:r>
        <w:rPr>
          <w:rFonts w:hint="default"/>
          <w:spacing w:val="7"/>
          <w:sz w:val="32"/>
          <w:szCs w:val="32"/>
          <w:lang w:val="en-US" w:eastAsia="zh-CN"/>
        </w:rPr>
        <w:t>应急管</w:t>
      </w:r>
      <w:r>
        <w:rPr>
          <w:rFonts w:hint="eastAsia"/>
          <w:spacing w:val="7"/>
          <w:sz w:val="32"/>
          <w:szCs w:val="32"/>
          <w:lang w:val="en-US" w:eastAsia="zh-CN"/>
        </w:rPr>
        <w:t>理</w:t>
      </w:r>
      <w:r>
        <w:rPr>
          <w:rFonts w:hint="default"/>
          <w:spacing w:val="7"/>
          <w:sz w:val="32"/>
          <w:szCs w:val="32"/>
          <w:lang w:val="en-US" w:eastAsia="zh-CN"/>
        </w:rPr>
        <w:t>局给予人民币</w:t>
      </w:r>
      <w:r>
        <w:rPr>
          <w:rFonts w:hint="eastAsia"/>
          <w:spacing w:val="7"/>
          <w:sz w:val="32"/>
          <w:szCs w:val="32"/>
          <w:lang w:val="en-US" w:eastAsia="zh-CN"/>
        </w:rPr>
        <w:t>贰</w:t>
      </w:r>
      <w:r>
        <w:rPr>
          <w:rFonts w:hint="default"/>
          <w:spacing w:val="7"/>
          <w:sz w:val="32"/>
          <w:szCs w:val="32"/>
          <w:lang w:val="en-US" w:eastAsia="zh-CN"/>
        </w:rPr>
        <w:t>万</w:t>
      </w:r>
      <w:r>
        <w:rPr>
          <w:rFonts w:hint="eastAsia"/>
          <w:spacing w:val="7"/>
          <w:sz w:val="32"/>
          <w:szCs w:val="32"/>
          <w:lang w:val="en-US" w:eastAsia="zh-CN"/>
        </w:rPr>
        <w:t>伍仟</w:t>
      </w:r>
      <w:r>
        <w:rPr>
          <w:rFonts w:hint="default"/>
          <w:spacing w:val="7"/>
          <w:sz w:val="32"/>
          <w:szCs w:val="32"/>
          <w:lang w:val="en-US" w:eastAsia="zh-CN"/>
        </w:rPr>
        <w:t>元整罚款，</w:t>
      </w:r>
      <w:r>
        <w:rPr>
          <w:rFonts w:hint="eastAsia"/>
          <w:spacing w:val="7"/>
          <w:sz w:val="32"/>
          <w:szCs w:val="32"/>
          <w:lang w:val="en-US" w:eastAsia="zh-CN"/>
        </w:rPr>
        <w:t>未</w:t>
      </w:r>
      <w:r>
        <w:rPr>
          <w:rFonts w:hint="default"/>
          <w:spacing w:val="7"/>
          <w:sz w:val="32"/>
          <w:szCs w:val="32"/>
          <w:lang w:val="en-US" w:eastAsia="zh-CN"/>
        </w:rPr>
        <w:t>缴纳罚款。</w:t>
      </w:r>
    </w:p>
    <w:p w14:paraId="3D71B55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1" w:firstLineChars="200"/>
        <w:jc w:val="both"/>
        <w:textAlignment w:val="baseline"/>
        <w:rPr>
          <w:rFonts w:hint="default"/>
          <w:b/>
          <w:bCs/>
          <w:spacing w:val="7"/>
          <w:sz w:val="32"/>
          <w:szCs w:val="32"/>
          <w:lang w:val="en-US" w:eastAsia="zh-CN"/>
        </w:rPr>
      </w:pPr>
      <w:r>
        <w:rPr>
          <w:rFonts w:hint="default"/>
          <w:b/>
          <w:bCs/>
          <w:spacing w:val="7"/>
          <w:sz w:val="32"/>
          <w:szCs w:val="32"/>
          <w:lang w:val="en-US" w:eastAsia="zh-CN"/>
        </w:rPr>
        <w:t>3.作出书面检查单位的落实情况</w:t>
      </w:r>
    </w:p>
    <w:p w14:paraId="14A7C7A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color w:val="auto"/>
          <w:spacing w:val="7"/>
          <w:sz w:val="32"/>
          <w:szCs w:val="32"/>
          <w:shd w:val="clear"/>
          <w:lang w:val="en-US" w:eastAsia="zh-CN"/>
        </w:rPr>
      </w:pPr>
      <w:r>
        <w:rPr>
          <w:rFonts w:hint="default"/>
          <w:spacing w:val="7"/>
          <w:sz w:val="32"/>
          <w:szCs w:val="32"/>
          <w:lang w:val="en-US" w:eastAsia="zh-CN"/>
        </w:rPr>
        <w:t>（1）</w:t>
      </w:r>
      <w:r>
        <w:rPr>
          <w:rFonts w:hint="eastAsia"/>
          <w:spacing w:val="7"/>
          <w:sz w:val="32"/>
          <w:szCs w:val="32"/>
          <w:lang w:val="en-US" w:eastAsia="zh-CN"/>
        </w:rPr>
        <w:t>嘉山路</w:t>
      </w:r>
      <w:r>
        <w:rPr>
          <w:rFonts w:hint="default"/>
          <w:spacing w:val="7"/>
          <w:sz w:val="32"/>
          <w:szCs w:val="32"/>
          <w:lang w:val="en-US" w:eastAsia="zh-CN"/>
        </w:rPr>
        <w:t>街道办事处，</w:t>
      </w:r>
      <w:r>
        <w:rPr>
          <w:rFonts w:hint="eastAsia"/>
          <w:color w:val="auto"/>
          <w:spacing w:val="7"/>
          <w:sz w:val="32"/>
          <w:szCs w:val="32"/>
          <w:shd w:val="clear"/>
          <w:lang w:val="en-US" w:eastAsia="zh-CN"/>
        </w:rPr>
        <w:t>2024</w:t>
      </w:r>
      <w:r>
        <w:rPr>
          <w:rFonts w:hint="default"/>
          <w:color w:val="auto"/>
          <w:spacing w:val="7"/>
          <w:sz w:val="32"/>
          <w:szCs w:val="32"/>
          <w:shd w:val="clear"/>
          <w:lang w:val="en-US" w:eastAsia="zh-CN"/>
        </w:rPr>
        <w:t>年</w:t>
      </w:r>
      <w:r>
        <w:rPr>
          <w:rFonts w:hint="eastAsia"/>
          <w:color w:val="auto"/>
          <w:spacing w:val="7"/>
          <w:sz w:val="32"/>
          <w:szCs w:val="32"/>
          <w:shd w:val="clear"/>
          <w:lang w:val="en-US" w:eastAsia="zh-CN"/>
        </w:rPr>
        <w:t>12</w:t>
      </w:r>
      <w:r>
        <w:rPr>
          <w:rFonts w:hint="default"/>
          <w:color w:val="auto"/>
          <w:spacing w:val="7"/>
          <w:sz w:val="32"/>
          <w:szCs w:val="32"/>
          <w:shd w:val="clear"/>
          <w:lang w:val="en-US" w:eastAsia="zh-CN"/>
        </w:rPr>
        <w:t>月</w:t>
      </w:r>
      <w:r>
        <w:rPr>
          <w:rFonts w:hint="eastAsia"/>
          <w:color w:val="auto"/>
          <w:spacing w:val="7"/>
          <w:sz w:val="32"/>
          <w:szCs w:val="32"/>
          <w:shd w:val="clear"/>
          <w:lang w:val="en-US" w:eastAsia="zh-CN"/>
        </w:rPr>
        <w:t>16</w:t>
      </w:r>
      <w:r>
        <w:rPr>
          <w:rFonts w:hint="default"/>
          <w:color w:val="auto"/>
          <w:spacing w:val="7"/>
          <w:sz w:val="32"/>
          <w:szCs w:val="32"/>
          <w:shd w:val="clear"/>
          <w:lang w:val="en-US" w:eastAsia="zh-CN"/>
        </w:rPr>
        <w:t>日，向</w:t>
      </w:r>
      <w:r>
        <w:rPr>
          <w:rFonts w:hint="eastAsia" w:hAnsi="仿宋_GB2312" w:eastAsia="仿宋_GB2312" w:cs="仿宋_GB2312"/>
          <w:color w:val="auto"/>
          <w:sz w:val="32"/>
          <w:szCs w:val="32"/>
          <w:shd w:val="clear"/>
          <w:lang w:val="en-US" w:eastAsia="zh-CN"/>
        </w:rPr>
        <w:t>瑶海区政府</w:t>
      </w:r>
      <w:r>
        <w:rPr>
          <w:rFonts w:hint="default"/>
          <w:color w:val="auto"/>
          <w:spacing w:val="7"/>
          <w:sz w:val="32"/>
          <w:szCs w:val="32"/>
          <w:shd w:val="clear"/>
          <w:lang w:val="en-US" w:eastAsia="zh-CN"/>
        </w:rPr>
        <w:t>作出深刻书面检查。</w:t>
      </w:r>
    </w:p>
    <w:p w14:paraId="2E0CAD08">
      <w:pPr>
        <w:pStyle w:val="2"/>
        <w:keepNext w:val="0"/>
        <w:keepLines w:val="0"/>
        <w:pageBreakBefore w:val="0"/>
        <w:widowControl/>
        <w:shd w:val="clear"/>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spacing w:val="7"/>
          <w:sz w:val="32"/>
          <w:szCs w:val="32"/>
          <w:lang w:val="en-US" w:eastAsia="zh-CN"/>
        </w:rPr>
      </w:pPr>
      <w:r>
        <w:rPr>
          <w:rFonts w:hint="default"/>
          <w:spacing w:val="7"/>
          <w:sz w:val="32"/>
          <w:szCs w:val="32"/>
          <w:lang w:val="en-US" w:eastAsia="zh-CN"/>
        </w:rPr>
        <w:t>（2）区住建局，</w:t>
      </w:r>
      <w:r>
        <w:rPr>
          <w:rFonts w:hint="eastAsia"/>
          <w:spacing w:val="7"/>
          <w:sz w:val="32"/>
          <w:szCs w:val="32"/>
          <w:lang w:val="en-US" w:eastAsia="zh-CN"/>
        </w:rPr>
        <w:t>2024</w:t>
      </w:r>
      <w:r>
        <w:rPr>
          <w:rFonts w:hint="default"/>
          <w:spacing w:val="7"/>
          <w:sz w:val="32"/>
          <w:szCs w:val="32"/>
          <w:lang w:val="en-US" w:eastAsia="zh-CN"/>
        </w:rPr>
        <w:t>年</w:t>
      </w:r>
      <w:r>
        <w:rPr>
          <w:rFonts w:hint="eastAsia"/>
          <w:spacing w:val="7"/>
          <w:sz w:val="32"/>
          <w:szCs w:val="32"/>
          <w:lang w:val="en-US" w:eastAsia="zh-CN"/>
        </w:rPr>
        <w:t>12</w:t>
      </w:r>
      <w:r>
        <w:rPr>
          <w:rFonts w:hint="default"/>
          <w:spacing w:val="7"/>
          <w:sz w:val="32"/>
          <w:szCs w:val="32"/>
          <w:lang w:val="en-US" w:eastAsia="zh-CN"/>
        </w:rPr>
        <w:t>月</w:t>
      </w:r>
      <w:r>
        <w:rPr>
          <w:rFonts w:hint="eastAsia"/>
          <w:spacing w:val="7"/>
          <w:sz w:val="32"/>
          <w:szCs w:val="32"/>
          <w:lang w:val="en-US" w:eastAsia="zh-CN"/>
        </w:rPr>
        <w:t>9</w:t>
      </w:r>
      <w:r>
        <w:rPr>
          <w:rFonts w:hint="default"/>
          <w:spacing w:val="7"/>
          <w:sz w:val="32"/>
          <w:szCs w:val="32"/>
          <w:lang w:val="en-US" w:eastAsia="zh-CN"/>
        </w:rPr>
        <w:t>日，向瑶海区政府作出深刻书面检查。</w:t>
      </w:r>
    </w:p>
    <w:p w14:paraId="10C1719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spacing w:val="7"/>
          <w:sz w:val="32"/>
          <w:szCs w:val="32"/>
          <w:lang w:val="en-US" w:eastAsia="zh-CN"/>
        </w:rPr>
      </w:pPr>
      <w:r>
        <w:rPr>
          <w:rFonts w:hint="default"/>
          <w:spacing w:val="7"/>
          <w:sz w:val="32"/>
          <w:szCs w:val="32"/>
          <w:lang w:val="en-US" w:eastAsia="zh-CN"/>
        </w:rPr>
        <w:t>相关责任人员和责任单位责任追究情况（见附件3）。</w:t>
      </w:r>
    </w:p>
    <w:p w14:paraId="5A90D0F0">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79"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pacing w:val="9"/>
          <w:sz w:val="32"/>
          <w:szCs w:val="32"/>
        </w:rPr>
        <w:t>（二）有关事故单位落实事故整改措施情况</w:t>
      </w:r>
    </w:p>
    <w:p w14:paraId="2EA3CB4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spacing w:val="7"/>
          <w:sz w:val="32"/>
          <w:szCs w:val="32"/>
          <w:lang w:val="en-US" w:eastAsia="zh-CN"/>
        </w:rPr>
      </w:pPr>
      <w:r>
        <w:rPr>
          <w:rFonts w:hint="default"/>
          <w:spacing w:val="7"/>
          <w:sz w:val="32"/>
          <w:szCs w:val="32"/>
          <w:lang w:val="en-US" w:eastAsia="zh-CN"/>
        </w:rPr>
        <w:t>1.夏</w:t>
      </w:r>
      <w:r>
        <w:rPr>
          <w:rFonts w:hint="eastAsia"/>
          <w:spacing w:val="7"/>
          <w:sz w:val="32"/>
          <w:szCs w:val="32"/>
          <w:lang w:val="en-US" w:eastAsia="zh-CN"/>
        </w:rPr>
        <w:t>*，基本</w:t>
      </w:r>
      <w:r>
        <w:rPr>
          <w:rFonts w:hint="default"/>
          <w:spacing w:val="7"/>
          <w:sz w:val="32"/>
          <w:szCs w:val="32"/>
          <w:lang w:val="en-US" w:eastAsia="zh-CN"/>
        </w:rPr>
        <w:t>落实调查报告要求，</w:t>
      </w:r>
      <w:r>
        <w:rPr>
          <w:rFonts w:hint="eastAsia"/>
          <w:spacing w:val="7"/>
          <w:sz w:val="32"/>
          <w:szCs w:val="32"/>
          <w:lang w:val="en-US" w:eastAsia="zh-CN"/>
        </w:rPr>
        <w:t>但未</w:t>
      </w:r>
      <w:r>
        <w:rPr>
          <w:rFonts w:hint="default"/>
          <w:spacing w:val="7"/>
          <w:sz w:val="32"/>
          <w:szCs w:val="32"/>
          <w:lang w:val="en-US" w:eastAsia="zh-CN"/>
        </w:rPr>
        <w:t>履行行政处罚决定。</w:t>
      </w:r>
    </w:p>
    <w:p w14:paraId="38D09DC6">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68" w:firstLineChars="200"/>
        <w:jc w:val="both"/>
        <w:textAlignment w:val="auto"/>
        <w:rPr>
          <w:rFonts w:hint="default"/>
          <w:spacing w:val="7"/>
          <w:sz w:val="32"/>
          <w:szCs w:val="32"/>
          <w:lang w:val="en-US" w:eastAsia="zh-CN"/>
        </w:rPr>
      </w:pPr>
      <w:r>
        <w:rPr>
          <w:rFonts w:hint="default"/>
          <w:spacing w:val="7"/>
          <w:sz w:val="32"/>
          <w:szCs w:val="32"/>
          <w:lang w:val="en-US" w:eastAsia="zh-CN"/>
        </w:rPr>
        <w:t>2.</w:t>
      </w:r>
      <w:r>
        <w:rPr>
          <w:rFonts w:hint="eastAsia" w:hAnsi="仿宋_GB2312" w:eastAsia="仿宋_GB2312" w:cs="仿宋_GB2312"/>
          <w:sz w:val="32"/>
          <w:szCs w:val="32"/>
          <w:lang w:val="en-US" w:eastAsia="zh-CN"/>
        </w:rPr>
        <w:t>嘉山路街道，基本落实调查报告的事故防范和整改措施。一是狠抓责任落实，严防事故发生，构建街道、社区、企业三级责任链条，压实责任。二是加强宣传教育、提高安全意识。三是强化监管巡查，消除安全隐患，加强对小散工程和零星作业的监督检查，确保及时发现和消除各类安全隐患。</w:t>
      </w:r>
    </w:p>
    <w:p w14:paraId="3FC6F2D1">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8" w:firstLineChars="200"/>
        <w:jc w:val="both"/>
        <w:textAlignment w:val="auto"/>
        <w:rPr>
          <w:rFonts w:hint="eastAsia" w:hAnsi="仿宋_GB2312" w:eastAsia="仿宋_GB2312" w:cs="仿宋_GB2312"/>
          <w:sz w:val="32"/>
          <w:szCs w:val="32"/>
          <w:lang w:val="en-US" w:eastAsia="zh-CN"/>
        </w:rPr>
      </w:pPr>
      <w:r>
        <w:rPr>
          <w:rFonts w:hint="eastAsia"/>
          <w:spacing w:val="7"/>
          <w:sz w:val="32"/>
          <w:szCs w:val="32"/>
          <w:lang w:val="en-US" w:eastAsia="zh-CN"/>
        </w:rPr>
        <w:t>3</w:t>
      </w:r>
      <w:r>
        <w:rPr>
          <w:rFonts w:hint="default"/>
          <w:spacing w:val="7"/>
          <w:sz w:val="32"/>
          <w:szCs w:val="32"/>
          <w:lang w:val="en-US" w:eastAsia="zh-CN"/>
        </w:rPr>
        <w:t>.</w:t>
      </w:r>
      <w:r>
        <w:rPr>
          <w:rFonts w:hint="eastAsia" w:hAnsi="仿宋_GB2312" w:eastAsia="仿宋_GB2312" w:cs="仿宋_GB2312"/>
          <w:sz w:val="32"/>
          <w:szCs w:val="32"/>
          <w:lang w:val="en-US" w:eastAsia="zh-CN"/>
        </w:rPr>
        <w:t>区住建局，基本落实调查报告的事故防范和整改措施。一是印发《关于印发&lt;瑶海区房建市政和装饰装修类小散工程安全生产登记工作指引&gt;等文件的通知》，二是强化安全宣传，提高安全意识，三是持续开展建设领域安全生产隐患大起底大排查大整治“百日攻坚行动”，深入研判各类风险，狠抓安全生产隐患排查整改和监管执法，进一步压实企业安全生产主体责任，切实消除建设领域安全隐患。</w:t>
      </w:r>
    </w:p>
    <w:p w14:paraId="5648AE67">
      <w:pPr>
        <w:keepNext w:val="0"/>
        <w:keepLines w:val="0"/>
        <w:pageBreakBefore w:val="0"/>
        <w:widowControl/>
        <w:kinsoku w:val="0"/>
        <w:wordWrap/>
        <w:overflowPunct/>
        <w:topLinePunct w:val="0"/>
        <w:autoSpaceDE w:val="0"/>
        <w:autoSpaceDN w:val="0"/>
        <w:bidi w:val="0"/>
        <w:adjustRightInd w:val="0"/>
        <w:snapToGrid w:val="0"/>
        <w:spacing w:before="15" w:line="560" w:lineRule="exact"/>
        <w:ind w:left="654"/>
        <w:jc w:val="both"/>
        <w:textAlignment w:val="baseline"/>
        <w:outlineLvl w:val="1"/>
        <w:rPr>
          <w:rFonts w:ascii="黑体" w:hAnsi="黑体" w:eastAsia="黑体" w:cs="黑体"/>
          <w:sz w:val="32"/>
          <w:szCs w:val="32"/>
        </w:rPr>
      </w:pPr>
      <w:r>
        <w:rPr>
          <w:rFonts w:ascii="黑体" w:hAnsi="黑体" w:eastAsia="黑体" w:cs="黑体"/>
          <w:spacing w:val="6"/>
          <w:sz w:val="32"/>
          <w:szCs w:val="32"/>
        </w:rPr>
        <w:t>三、评估意见</w:t>
      </w:r>
    </w:p>
    <w:p w14:paraId="1C9A2CE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评估组综合评估后认为，事故有关单位能吸取事故教训，认真开展了整改，取得了积极成效。为深刻吸取事故教训，深化防范措施，有效防范和减少同类事故的发生，提出如下意见：</w:t>
      </w:r>
    </w:p>
    <w:p w14:paraId="1062CBA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（一）加强部门协作推动责任追究落实到位。要进一步完善部门协作机制，推动各项责任追究工作依法依规、快速高效落实到位。</w:t>
      </w:r>
    </w:p>
    <w:p w14:paraId="45472D9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二）要狠抓事故防范措施落地生效。要全面梳理事故防范和整改措施清单，常抓不懈，落地落细防范措施。举一反三，紧盯安全生产领域顽固性问题攻坚，深挖问题根源，采取切实可行的工作举措，推进事故整改工作高质量完成。</w:t>
      </w:r>
    </w:p>
    <w:p w14:paraId="31D8F14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三）强化安全生产宣传实效。切实加强安全生产宣传引导，可通过各种奖励措施，激励一线员工主动学习安全生产知识的热情，确保学习取得实效。同时，充分借助各类新闻媒体渠道，加强宣传报道，通过剖析典型案例，以案说法，进一步提升作业人员的安全生产意识。</w:t>
      </w:r>
    </w:p>
    <w:p w14:paraId="205A3F9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default"/>
          <w:spacing w:val="7"/>
          <w:sz w:val="32"/>
          <w:szCs w:val="32"/>
          <w:lang w:val="en-US" w:eastAsia="zh-CN"/>
        </w:rPr>
      </w:pPr>
    </w:p>
    <w:p w14:paraId="4B6ECB0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附件：</w:t>
      </w:r>
    </w:p>
    <w:p w14:paraId="4CDB598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1.事故评估组成员名单</w:t>
      </w:r>
    </w:p>
    <w:p w14:paraId="5E87B01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2.瑶海嘉山路圣涛牛肉汤店“8·24”一般触电事故防范和整改措施落实情况评估表</w:t>
      </w:r>
    </w:p>
    <w:p w14:paraId="744CD64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3.瑶海嘉山路圣涛牛肉汤店“8·24”一般触电事故责任追究落实情况表</w:t>
      </w:r>
    </w:p>
    <w:p w14:paraId="683775E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pacing w:val="7"/>
          <w:sz w:val="32"/>
          <w:szCs w:val="32"/>
          <w:lang w:val="en-US" w:eastAsia="zh-CN"/>
        </w:rPr>
      </w:pPr>
    </w:p>
    <w:p w14:paraId="16C476F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pacing w:val="7"/>
          <w:sz w:val="32"/>
          <w:szCs w:val="32"/>
          <w:lang w:val="en-US" w:eastAsia="zh-CN"/>
        </w:rPr>
      </w:pPr>
    </w:p>
    <w:p w14:paraId="3602A57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right"/>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瑶海嘉山路圣涛牛肉汤店“8·24”一般触电事故</w:t>
      </w:r>
    </w:p>
    <w:p w14:paraId="4B0EFD4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right"/>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防范和整改措施落实情况评估工作组</w:t>
      </w:r>
    </w:p>
    <w:p w14:paraId="5514D6B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val="en-US" w:eastAsia="zh-CN"/>
        </w:rPr>
        <w:t xml:space="preserve">            2025年6月17日</w:t>
      </w:r>
    </w:p>
    <w:p w14:paraId="1C388166">
      <w:pPr>
        <w:keepNext w:val="0"/>
        <w:keepLines w:val="0"/>
        <w:pageBreakBefore w:val="0"/>
        <w:widowControl/>
        <w:kinsoku w:val="0"/>
        <w:wordWrap/>
        <w:overflowPunct/>
        <w:topLinePunct w:val="0"/>
        <w:autoSpaceDE w:val="0"/>
        <w:autoSpaceDN w:val="0"/>
        <w:bidi w:val="0"/>
        <w:adjustRightInd w:val="0"/>
        <w:snapToGrid w:val="0"/>
        <w:spacing w:before="101" w:line="560" w:lineRule="exact"/>
        <w:jc w:val="right"/>
        <w:textAlignment w:val="baseline"/>
        <w:rPr>
          <w:rFonts w:ascii="黑体" w:hAnsi="黑体" w:eastAsia="黑体" w:cs="黑体"/>
          <w:spacing w:val="-4"/>
          <w:sz w:val="31"/>
          <w:szCs w:val="31"/>
        </w:rPr>
      </w:pPr>
    </w:p>
    <w:p w14:paraId="1A77D5A6">
      <w:pPr>
        <w:pStyle w:val="9"/>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590B108E">
      <w:pPr>
        <w:pStyle w:val="9"/>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343BE907">
      <w:pPr>
        <w:pStyle w:val="9"/>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57D8AD4F">
      <w:pPr>
        <w:pStyle w:val="9"/>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0970E590">
      <w:pPr>
        <w:pStyle w:val="9"/>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026F7E54">
      <w:pPr>
        <w:pStyle w:val="9"/>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6C152CF3">
      <w:pPr>
        <w:pStyle w:val="9"/>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15191619">
      <w:pPr>
        <w:pStyle w:val="9"/>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24854594">
      <w:pPr>
        <w:pStyle w:val="9"/>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05CF08B0">
      <w:pPr>
        <w:pStyle w:val="9"/>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727D3229">
      <w:pPr>
        <w:pStyle w:val="9"/>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7E93289A">
      <w:pPr>
        <w:pStyle w:val="9"/>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0D40A9E9">
      <w:pPr>
        <w:pStyle w:val="9"/>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3A8A4152">
      <w:pPr>
        <w:pStyle w:val="9"/>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32EBB82A">
      <w:pPr>
        <w:pStyle w:val="9"/>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2F3A81D2">
      <w:pPr>
        <w:pStyle w:val="9"/>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081BF914">
      <w:pPr>
        <w:pStyle w:val="9"/>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338D9AF2">
      <w:pPr>
        <w:pStyle w:val="9"/>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黑体" w:hAnsi="黑体" w:eastAsia="黑体" w:cs="黑体"/>
          <w:spacing w:val="-4"/>
          <w:sz w:val="31"/>
          <w:szCs w:val="31"/>
        </w:rPr>
      </w:pPr>
    </w:p>
    <w:p w14:paraId="456A37AE">
      <w:pPr>
        <w:spacing w:before="101" w:line="230" w:lineRule="auto"/>
        <w:ind w:left="9"/>
        <w:rPr>
          <w:rFonts w:ascii="黑体" w:hAnsi="黑体" w:eastAsia="黑体" w:cs="黑体"/>
          <w:sz w:val="31"/>
          <w:szCs w:val="31"/>
        </w:rPr>
      </w:pPr>
      <w:r>
        <w:rPr>
          <w:rFonts w:ascii="黑体" w:hAnsi="黑体" w:eastAsia="黑体" w:cs="黑体"/>
          <w:spacing w:val="-4"/>
          <w:sz w:val="31"/>
          <w:szCs w:val="31"/>
        </w:rPr>
        <w:t>附件1</w:t>
      </w:r>
    </w:p>
    <w:p w14:paraId="7BD4EC56">
      <w:pPr>
        <w:spacing w:line="456" w:lineRule="auto"/>
        <w:rPr>
          <w:rFonts w:ascii="Arial"/>
          <w:sz w:val="21"/>
        </w:rPr>
      </w:pPr>
    </w:p>
    <w:p w14:paraId="5708320D">
      <w:pPr>
        <w:spacing w:before="167" w:line="216" w:lineRule="auto"/>
        <w:ind w:left="459" w:right="1" w:hanging="459"/>
        <w:jc w:val="center"/>
        <w:rPr>
          <w:rFonts w:hint="default" w:ascii="方正小标宋简体" w:hAnsi="方正小标宋简体" w:eastAsia="方正小标宋简体" w:cs="方正小标宋简体"/>
          <w:sz w:val="43"/>
          <w:szCs w:val="43"/>
        </w:rPr>
      </w:pPr>
      <w:r>
        <w:rPr>
          <w:rFonts w:hint="default" w:ascii="方正小标宋简体" w:hAnsi="方正小标宋简体" w:eastAsia="方正小标宋简体" w:cs="方正小标宋简体"/>
          <w:sz w:val="43"/>
          <w:szCs w:val="43"/>
          <w:lang w:eastAsia="zh-CN"/>
        </w:rPr>
        <w:t>事故评估</w:t>
      </w:r>
      <w:r>
        <w:rPr>
          <w:rFonts w:hint="default" w:ascii="方正小标宋简体" w:hAnsi="方正小标宋简体" w:eastAsia="方正小标宋简体" w:cs="方正小标宋简体"/>
          <w:sz w:val="43"/>
          <w:szCs w:val="43"/>
        </w:rPr>
        <w:t>组成员名单</w:t>
      </w:r>
    </w:p>
    <w:tbl>
      <w:tblPr>
        <w:tblStyle w:val="7"/>
        <w:tblpPr w:leftFromText="180" w:rightFromText="180" w:vertAnchor="text" w:horzAnchor="page" w:tblpX="1598" w:tblpY="5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1753"/>
        <w:gridCol w:w="5391"/>
      </w:tblGrid>
      <w:tr w14:paraId="3B86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7" w:type="dxa"/>
            <w:noWrap w:val="0"/>
            <w:vAlign w:val="center"/>
          </w:tcPr>
          <w:p w14:paraId="58A982CD">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黑体" w:cs="Times New Roman"/>
                <w:snapToGrid w:val="0"/>
                <w:kern w:val="0"/>
                <w:sz w:val="32"/>
                <w:szCs w:val="32"/>
                <w:vertAlign w:val="baseline"/>
              </w:rPr>
            </w:pPr>
            <w:r>
              <w:rPr>
                <w:rFonts w:hint="default" w:ascii="Times New Roman" w:hAnsi="Times New Roman" w:eastAsia="黑体" w:cs="Times New Roman"/>
                <w:color w:val="191919"/>
                <w:kern w:val="0"/>
                <w:sz w:val="32"/>
                <w:szCs w:val="32"/>
                <w:lang w:val="en-US" w:eastAsia="zh-CN" w:bidi="ar"/>
              </w:rPr>
              <w:t>评估组</w:t>
            </w:r>
          </w:p>
        </w:tc>
        <w:tc>
          <w:tcPr>
            <w:tcW w:w="1753" w:type="dxa"/>
            <w:noWrap w:val="0"/>
            <w:vAlign w:val="center"/>
          </w:tcPr>
          <w:p w14:paraId="745C7DD4">
            <w:pPr>
              <w:keepNext w:val="0"/>
              <w:keepLines w:val="0"/>
              <w:pageBreakBefore w:val="0"/>
              <w:widowControl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黑体" w:cs="Times New Roman"/>
                <w:snapToGrid w:val="0"/>
                <w:kern w:val="0"/>
                <w:sz w:val="32"/>
                <w:szCs w:val="32"/>
                <w:vertAlign w:val="baseline"/>
              </w:rPr>
            </w:pPr>
            <w:r>
              <w:rPr>
                <w:rFonts w:hint="default" w:ascii="Times New Roman" w:hAnsi="Times New Roman" w:eastAsia="黑体" w:cs="Times New Roman"/>
                <w:color w:val="191919"/>
                <w:kern w:val="0"/>
                <w:sz w:val="32"/>
                <w:szCs w:val="32"/>
                <w:lang w:val="en-US" w:eastAsia="zh-CN" w:bidi="ar"/>
              </w:rPr>
              <w:t>姓名</w:t>
            </w:r>
          </w:p>
        </w:tc>
        <w:tc>
          <w:tcPr>
            <w:tcW w:w="5391" w:type="dxa"/>
            <w:noWrap w:val="0"/>
            <w:vAlign w:val="center"/>
          </w:tcPr>
          <w:p w14:paraId="424AC8CD">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黑体" w:cs="Times New Roman"/>
                <w:snapToGrid w:val="0"/>
                <w:kern w:val="0"/>
                <w:sz w:val="32"/>
                <w:szCs w:val="32"/>
                <w:vertAlign w:val="baseline"/>
              </w:rPr>
            </w:pPr>
            <w:r>
              <w:rPr>
                <w:rFonts w:hint="default" w:ascii="Times New Roman" w:hAnsi="Times New Roman" w:eastAsia="黑体" w:cs="Times New Roman"/>
                <w:color w:val="191919"/>
                <w:kern w:val="0"/>
                <w:sz w:val="32"/>
                <w:szCs w:val="32"/>
                <w:lang w:val="en-US" w:eastAsia="zh-CN" w:bidi="ar"/>
              </w:rPr>
              <w:t>职务</w:t>
            </w:r>
          </w:p>
        </w:tc>
      </w:tr>
      <w:tr w14:paraId="0137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7" w:type="dxa"/>
            <w:noWrap w:val="0"/>
            <w:vAlign w:val="center"/>
          </w:tcPr>
          <w:p w14:paraId="2C51A89C">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组长</w:t>
            </w:r>
          </w:p>
        </w:tc>
        <w:tc>
          <w:tcPr>
            <w:tcW w:w="1753" w:type="dxa"/>
            <w:noWrap w:val="0"/>
            <w:vAlign w:val="center"/>
          </w:tcPr>
          <w:p w14:paraId="480398B7">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董明强</w:t>
            </w:r>
          </w:p>
        </w:tc>
        <w:tc>
          <w:tcPr>
            <w:tcW w:w="5391" w:type="dxa"/>
            <w:noWrap w:val="0"/>
            <w:vAlign w:val="center"/>
          </w:tcPr>
          <w:p w14:paraId="57C8E70C">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区应急管理局党委委员、副局长</w:t>
            </w:r>
          </w:p>
        </w:tc>
      </w:tr>
      <w:tr w14:paraId="437C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7" w:type="dxa"/>
            <w:noWrap w:val="0"/>
            <w:vAlign w:val="center"/>
          </w:tcPr>
          <w:p w14:paraId="591691B0">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副组长</w:t>
            </w:r>
          </w:p>
        </w:tc>
        <w:tc>
          <w:tcPr>
            <w:tcW w:w="1753" w:type="dxa"/>
            <w:noWrap w:val="0"/>
            <w:vAlign w:val="center"/>
          </w:tcPr>
          <w:p w14:paraId="1D4A18C0">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张韶龙</w:t>
            </w:r>
          </w:p>
        </w:tc>
        <w:tc>
          <w:tcPr>
            <w:tcW w:w="5391" w:type="dxa"/>
            <w:noWrap w:val="0"/>
            <w:vAlign w:val="center"/>
          </w:tcPr>
          <w:p w14:paraId="226C2592">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区应急管理综合行政执法大队大队长</w:t>
            </w:r>
          </w:p>
        </w:tc>
      </w:tr>
      <w:tr w14:paraId="2FAC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7" w:type="dxa"/>
            <w:vMerge w:val="restart"/>
            <w:noWrap w:val="0"/>
            <w:vAlign w:val="center"/>
          </w:tcPr>
          <w:p w14:paraId="197F0A8E">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成员</w:t>
            </w:r>
          </w:p>
        </w:tc>
        <w:tc>
          <w:tcPr>
            <w:tcW w:w="1753" w:type="dxa"/>
            <w:noWrap w:val="0"/>
            <w:vAlign w:val="center"/>
          </w:tcPr>
          <w:p w14:paraId="1FCAC7A6">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徐王先</w:t>
            </w:r>
          </w:p>
        </w:tc>
        <w:tc>
          <w:tcPr>
            <w:tcW w:w="5391" w:type="dxa"/>
            <w:noWrap w:val="0"/>
            <w:vAlign w:val="center"/>
          </w:tcPr>
          <w:p w14:paraId="2E4F4994">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区应急管理综合行政执法大队队员</w:t>
            </w:r>
          </w:p>
        </w:tc>
      </w:tr>
      <w:tr w14:paraId="10F4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7" w:type="dxa"/>
            <w:vMerge w:val="continue"/>
            <w:noWrap w:val="0"/>
            <w:vAlign w:val="center"/>
          </w:tcPr>
          <w:p w14:paraId="01EDDABB">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p>
        </w:tc>
        <w:tc>
          <w:tcPr>
            <w:tcW w:w="1753" w:type="dxa"/>
            <w:noWrap w:val="0"/>
            <w:vAlign w:val="center"/>
          </w:tcPr>
          <w:p w14:paraId="5E3712A9">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单</w:t>
            </w:r>
            <w:r>
              <w:rPr>
                <w:rFonts w:hint="eastAsia" w:ascii="Times New Roman" w:hAnsi="Times New Roman" w:eastAsia="仿宋_GB2312" w:cs="Times New Roman"/>
                <w:color w:val="191919"/>
                <w:kern w:val="0"/>
                <w:sz w:val="32"/>
                <w:szCs w:val="32"/>
                <w:lang w:val="en-US" w:eastAsia="zh-CN" w:bidi="ar"/>
              </w:rPr>
              <w:t xml:space="preserve">  </w:t>
            </w:r>
            <w:r>
              <w:rPr>
                <w:rFonts w:hint="default" w:ascii="Times New Roman" w:hAnsi="Times New Roman" w:eastAsia="仿宋_GB2312" w:cs="Times New Roman"/>
                <w:color w:val="191919"/>
                <w:kern w:val="0"/>
                <w:sz w:val="32"/>
                <w:szCs w:val="32"/>
                <w:lang w:val="en-US" w:eastAsia="zh-CN" w:bidi="ar"/>
              </w:rPr>
              <w:t>兵</w:t>
            </w:r>
          </w:p>
        </w:tc>
        <w:tc>
          <w:tcPr>
            <w:tcW w:w="5391" w:type="dxa"/>
            <w:noWrap w:val="0"/>
            <w:vAlign w:val="center"/>
          </w:tcPr>
          <w:p w14:paraId="51BF0AB1">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区住建局质监站工作人员</w:t>
            </w:r>
          </w:p>
        </w:tc>
      </w:tr>
      <w:tr w14:paraId="090B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7" w:type="dxa"/>
            <w:vMerge w:val="continue"/>
            <w:noWrap w:val="0"/>
            <w:vAlign w:val="center"/>
          </w:tcPr>
          <w:p w14:paraId="6ABCDE22">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p>
        </w:tc>
        <w:tc>
          <w:tcPr>
            <w:tcW w:w="1753" w:type="dxa"/>
            <w:noWrap w:val="0"/>
            <w:vAlign w:val="center"/>
          </w:tcPr>
          <w:p w14:paraId="0BFBB819">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苏业芳</w:t>
            </w:r>
          </w:p>
        </w:tc>
        <w:tc>
          <w:tcPr>
            <w:tcW w:w="5391" w:type="dxa"/>
            <w:noWrap w:val="0"/>
            <w:vAlign w:val="center"/>
          </w:tcPr>
          <w:p w14:paraId="7A222D82">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嘉山路街道工作人员</w:t>
            </w:r>
          </w:p>
        </w:tc>
      </w:tr>
      <w:tr w14:paraId="09C2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7" w:type="dxa"/>
            <w:vMerge w:val="continue"/>
            <w:noWrap w:val="0"/>
            <w:vAlign w:val="center"/>
          </w:tcPr>
          <w:p w14:paraId="68F3BDB1">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p>
        </w:tc>
        <w:tc>
          <w:tcPr>
            <w:tcW w:w="1753" w:type="dxa"/>
            <w:noWrap w:val="0"/>
            <w:vAlign w:val="center"/>
          </w:tcPr>
          <w:p w14:paraId="78B3CFFD">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王大业</w:t>
            </w:r>
          </w:p>
        </w:tc>
        <w:tc>
          <w:tcPr>
            <w:tcW w:w="5391" w:type="dxa"/>
            <w:noWrap w:val="0"/>
            <w:vAlign w:val="center"/>
          </w:tcPr>
          <w:p w14:paraId="2A07EBC0">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区安全生产专家库专家</w:t>
            </w:r>
          </w:p>
        </w:tc>
      </w:tr>
      <w:tr w14:paraId="621B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7" w:type="dxa"/>
            <w:vMerge w:val="continue"/>
            <w:noWrap w:val="0"/>
            <w:vAlign w:val="center"/>
          </w:tcPr>
          <w:p w14:paraId="43CB3501">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p>
        </w:tc>
        <w:tc>
          <w:tcPr>
            <w:tcW w:w="1753" w:type="dxa"/>
            <w:noWrap w:val="0"/>
            <w:vAlign w:val="center"/>
          </w:tcPr>
          <w:p w14:paraId="03BD3A84">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解向华</w:t>
            </w:r>
          </w:p>
        </w:tc>
        <w:tc>
          <w:tcPr>
            <w:tcW w:w="5391" w:type="dxa"/>
            <w:noWrap w:val="0"/>
            <w:vAlign w:val="center"/>
          </w:tcPr>
          <w:p w14:paraId="2DF85EDC">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区安全生产专家库专家</w:t>
            </w:r>
          </w:p>
        </w:tc>
      </w:tr>
    </w:tbl>
    <w:p w14:paraId="41FCFE3C">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p>
    <w:p w14:paraId="20EDA09A">
      <w:pPr>
        <w:pStyle w:val="3"/>
      </w:pPr>
    </w:p>
    <w:p w14:paraId="2E1492A4">
      <w:pPr>
        <w:rPr>
          <w:rFonts w:ascii="Arial" w:hAnsi="Arial" w:eastAsia="Arial" w:cs="Arial"/>
          <w:sz w:val="21"/>
          <w:szCs w:val="21"/>
        </w:rPr>
        <w:sectPr>
          <w:footerReference r:id="rId5" w:type="default"/>
          <w:pgSz w:w="11906" w:h="16839"/>
          <w:pgMar w:top="1431" w:right="1529" w:bottom="1186" w:left="1551" w:header="0" w:footer="818" w:gutter="0"/>
          <w:pgNumType w:fmt="numberInDash"/>
          <w:cols w:space="720" w:num="1"/>
        </w:sectPr>
      </w:pPr>
    </w:p>
    <w:p w14:paraId="0AC5C6BA">
      <w:pPr>
        <w:spacing w:before="169" w:line="230" w:lineRule="auto"/>
        <w:ind w:left="1"/>
        <w:rPr>
          <w:rFonts w:ascii="黑体" w:hAnsi="黑体" w:eastAsia="黑体" w:cs="黑体"/>
          <w:sz w:val="31"/>
          <w:szCs w:val="31"/>
        </w:rPr>
      </w:pPr>
      <w:r>
        <w:rPr>
          <w:rFonts w:ascii="黑体" w:hAnsi="黑体" w:eastAsia="黑体" w:cs="黑体"/>
          <w:spacing w:val="24"/>
          <w:sz w:val="31"/>
          <w:szCs w:val="31"/>
        </w:rPr>
        <w:t>附件2</w:t>
      </w:r>
    </w:p>
    <w:p w14:paraId="3E9C7AB1">
      <w:pPr>
        <w:spacing w:line="328" w:lineRule="auto"/>
        <w:rPr>
          <w:rFonts w:ascii="Arial"/>
          <w:sz w:val="21"/>
        </w:rPr>
      </w:pPr>
    </w:p>
    <w:p w14:paraId="5A93E656">
      <w:pPr>
        <w:spacing w:before="135" w:line="232" w:lineRule="auto"/>
        <w:ind w:left="756"/>
        <w:outlineLvl w:val="1"/>
        <w:rPr>
          <w:rFonts w:ascii="方正小标宋简体" w:hAnsi="方正小标宋简体" w:eastAsia="方正小标宋简体" w:cs="方正小标宋简体"/>
          <w:sz w:val="35"/>
          <w:szCs w:val="35"/>
        </w:rPr>
      </w:pPr>
      <w:r>
        <w:rPr>
          <w:rFonts w:hint="eastAsia" w:ascii="方正小标宋简体" w:hAnsi="方正小标宋简体" w:eastAsia="方正小标宋简体" w:cs="方正小标宋简体"/>
          <w:spacing w:val="5"/>
          <w:sz w:val="35"/>
          <w:szCs w:val="35"/>
          <w:lang w:eastAsia="zh-CN"/>
        </w:rPr>
        <w:t>瑶海嘉山路圣涛牛肉汤店“8·24”一般触电事故</w:t>
      </w:r>
      <w:r>
        <w:rPr>
          <w:rFonts w:ascii="方正小标宋简体" w:hAnsi="方正小标宋简体" w:eastAsia="方正小标宋简体" w:cs="方正小标宋简体"/>
          <w:spacing w:val="5"/>
          <w:sz w:val="35"/>
          <w:szCs w:val="35"/>
        </w:rPr>
        <w:t>防范和整改措施落实情况评估表</w:t>
      </w:r>
    </w:p>
    <w:p w14:paraId="70734A28">
      <w:pPr>
        <w:spacing w:before="115" w:line="215" w:lineRule="auto"/>
        <w:jc w:val="right"/>
        <w:rPr>
          <w:rFonts w:ascii="KaiTi_GB2312" w:hAnsi="KaiTi_GB2312" w:eastAsia="KaiTi_GB2312" w:cs="KaiTi_GB2312"/>
          <w:sz w:val="24"/>
          <w:szCs w:val="24"/>
        </w:rPr>
      </w:pPr>
      <w:r>
        <w:rPr>
          <w:rFonts w:ascii="KaiTi_GB2312" w:hAnsi="KaiTi_GB2312" w:eastAsia="KaiTi_GB2312" w:cs="KaiTi_GB2312"/>
          <w:spacing w:val="-10"/>
          <w:sz w:val="24"/>
          <w:szCs w:val="24"/>
        </w:rPr>
        <w:t>评估时间：202</w:t>
      </w:r>
      <w:r>
        <w:rPr>
          <w:rFonts w:hint="eastAsia" w:ascii="KaiTi_GB2312" w:hAnsi="KaiTi_GB2312" w:eastAsia="KaiTi_GB2312" w:cs="KaiTi_GB2312"/>
          <w:spacing w:val="-10"/>
          <w:sz w:val="24"/>
          <w:szCs w:val="24"/>
          <w:lang w:val="en-US" w:eastAsia="zh-CN"/>
        </w:rPr>
        <w:t>5</w:t>
      </w:r>
      <w:r>
        <w:rPr>
          <w:rFonts w:ascii="KaiTi_GB2312" w:hAnsi="KaiTi_GB2312" w:eastAsia="KaiTi_GB2312" w:cs="KaiTi_GB2312"/>
          <w:spacing w:val="-38"/>
          <w:sz w:val="24"/>
          <w:szCs w:val="24"/>
        </w:rPr>
        <w:t xml:space="preserve"> </w:t>
      </w:r>
      <w:r>
        <w:rPr>
          <w:rFonts w:ascii="KaiTi_GB2312" w:hAnsi="KaiTi_GB2312" w:eastAsia="KaiTi_GB2312" w:cs="KaiTi_GB2312"/>
          <w:spacing w:val="-10"/>
          <w:sz w:val="24"/>
          <w:szCs w:val="24"/>
        </w:rPr>
        <w:t>年</w:t>
      </w:r>
      <w:r>
        <w:rPr>
          <w:rFonts w:ascii="KaiTi_GB2312" w:hAnsi="KaiTi_GB2312" w:eastAsia="KaiTi_GB2312" w:cs="KaiTi_GB2312"/>
          <w:spacing w:val="22"/>
          <w:sz w:val="24"/>
          <w:szCs w:val="24"/>
        </w:rPr>
        <w:t xml:space="preserve"> </w:t>
      </w:r>
      <w:r>
        <w:rPr>
          <w:rFonts w:ascii="KaiTi_GB2312" w:hAnsi="KaiTi_GB2312" w:eastAsia="KaiTi_GB2312" w:cs="KaiTi_GB2312"/>
          <w:spacing w:val="-10"/>
          <w:sz w:val="24"/>
          <w:szCs w:val="24"/>
        </w:rPr>
        <w:t>5</w:t>
      </w:r>
      <w:r>
        <w:rPr>
          <w:rFonts w:ascii="KaiTi_GB2312" w:hAnsi="KaiTi_GB2312" w:eastAsia="KaiTi_GB2312" w:cs="KaiTi_GB2312"/>
          <w:spacing w:val="-37"/>
          <w:sz w:val="24"/>
          <w:szCs w:val="24"/>
        </w:rPr>
        <w:t xml:space="preserve"> </w:t>
      </w:r>
      <w:r>
        <w:rPr>
          <w:rFonts w:ascii="KaiTi_GB2312" w:hAnsi="KaiTi_GB2312" w:eastAsia="KaiTi_GB2312" w:cs="KaiTi_GB2312"/>
          <w:spacing w:val="-10"/>
          <w:sz w:val="24"/>
          <w:szCs w:val="24"/>
        </w:rPr>
        <w:t>月</w:t>
      </w:r>
      <w:r>
        <w:rPr>
          <w:rFonts w:ascii="KaiTi_GB2312" w:hAnsi="KaiTi_GB2312" w:eastAsia="KaiTi_GB2312" w:cs="KaiTi_GB2312"/>
          <w:spacing w:val="-32"/>
          <w:sz w:val="24"/>
          <w:szCs w:val="24"/>
        </w:rPr>
        <w:t xml:space="preserve"> </w:t>
      </w:r>
      <w:r>
        <w:rPr>
          <w:rFonts w:hint="eastAsia" w:ascii="KaiTi_GB2312" w:hAnsi="KaiTi_GB2312" w:eastAsia="KaiTi_GB2312" w:cs="KaiTi_GB2312"/>
          <w:spacing w:val="-10"/>
          <w:sz w:val="24"/>
          <w:szCs w:val="24"/>
          <w:lang w:val="en-US" w:eastAsia="zh-CN"/>
        </w:rPr>
        <w:t>28</w:t>
      </w:r>
      <w:r>
        <w:rPr>
          <w:rFonts w:ascii="KaiTi_GB2312" w:hAnsi="KaiTi_GB2312" w:eastAsia="KaiTi_GB2312" w:cs="KaiTi_GB2312"/>
          <w:spacing w:val="-10"/>
          <w:sz w:val="24"/>
          <w:szCs w:val="24"/>
        </w:rPr>
        <w:t xml:space="preserve"> 日</w:t>
      </w:r>
    </w:p>
    <w:tbl>
      <w:tblPr>
        <w:tblStyle w:val="10"/>
        <w:tblpPr w:leftFromText="180" w:rightFromText="180" w:vertAnchor="text" w:horzAnchor="page" w:tblpX="1501" w:tblpY="2"/>
        <w:tblOverlap w:val="never"/>
        <w:tblW w:w="139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04"/>
        <w:gridCol w:w="1665"/>
        <w:gridCol w:w="8053"/>
        <w:gridCol w:w="2186"/>
        <w:gridCol w:w="1160"/>
      </w:tblGrid>
      <w:tr w14:paraId="7CEA8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904" w:type="dxa"/>
            <w:tcBorders>
              <w:top w:val="single" w:color="000000" w:sz="10" w:space="0"/>
              <w:left w:val="single" w:color="000000" w:sz="10" w:space="0"/>
            </w:tcBorders>
            <w:textDirection w:val="tbRlV"/>
            <w:vAlign w:val="center"/>
          </w:tcPr>
          <w:p w14:paraId="1FFC5750">
            <w:pPr>
              <w:spacing w:before="169" w:line="209" w:lineRule="auto"/>
              <w:ind w:left="66"/>
              <w:jc w:val="center"/>
              <w:rPr>
                <w:rFonts w:ascii="黑体" w:hAnsi="黑体" w:eastAsia="黑体" w:cs="黑体"/>
                <w:sz w:val="24"/>
                <w:szCs w:val="24"/>
              </w:rPr>
            </w:pPr>
            <w:r>
              <w:rPr>
                <w:rFonts w:ascii="黑体" w:hAnsi="黑体" w:eastAsia="黑体" w:cs="黑体"/>
                <w:spacing w:val="37"/>
                <w:sz w:val="24"/>
                <w:szCs w:val="24"/>
              </w:rPr>
              <w:t>序号</w:t>
            </w:r>
          </w:p>
        </w:tc>
        <w:tc>
          <w:tcPr>
            <w:tcW w:w="1665" w:type="dxa"/>
            <w:tcBorders>
              <w:top w:val="single" w:color="000000" w:sz="10" w:space="0"/>
            </w:tcBorders>
            <w:vAlign w:val="center"/>
          </w:tcPr>
          <w:p w14:paraId="7EC3ACEF">
            <w:pPr>
              <w:spacing w:before="221" w:line="222" w:lineRule="auto"/>
              <w:ind w:left="504"/>
              <w:jc w:val="center"/>
              <w:rPr>
                <w:rFonts w:ascii="黑体" w:hAnsi="黑体" w:eastAsia="黑体" w:cs="黑体"/>
                <w:sz w:val="24"/>
                <w:szCs w:val="24"/>
              </w:rPr>
            </w:pPr>
            <w:r>
              <w:rPr>
                <w:rFonts w:ascii="黑体" w:hAnsi="黑体" w:eastAsia="黑体" w:cs="黑体"/>
                <w:spacing w:val="-3"/>
                <w:sz w:val="24"/>
                <w:szCs w:val="24"/>
              </w:rPr>
              <w:t>评估内容</w:t>
            </w:r>
          </w:p>
        </w:tc>
        <w:tc>
          <w:tcPr>
            <w:tcW w:w="8053" w:type="dxa"/>
            <w:tcBorders>
              <w:top w:val="single" w:color="000000" w:sz="10" w:space="0"/>
            </w:tcBorders>
            <w:vAlign w:val="center"/>
          </w:tcPr>
          <w:p w14:paraId="7551DA5F">
            <w:pPr>
              <w:spacing w:before="221" w:line="222" w:lineRule="auto"/>
              <w:ind w:left="3201"/>
              <w:jc w:val="center"/>
              <w:rPr>
                <w:rFonts w:ascii="黑体" w:hAnsi="黑体" w:eastAsia="黑体" w:cs="黑体"/>
                <w:sz w:val="24"/>
                <w:szCs w:val="24"/>
              </w:rPr>
            </w:pPr>
            <w:r>
              <w:rPr>
                <w:rFonts w:ascii="黑体" w:hAnsi="黑体" w:eastAsia="黑体" w:cs="黑体"/>
                <w:spacing w:val="-3"/>
                <w:sz w:val="24"/>
                <w:szCs w:val="24"/>
              </w:rPr>
              <w:t>评估要点</w:t>
            </w:r>
          </w:p>
        </w:tc>
        <w:tc>
          <w:tcPr>
            <w:tcW w:w="2186" w:type="dxa"/>
            <w:tcBorders>
              <w:top w:val="single" w:color="000000" w:sz="10" w:space="0"/>
            </w:tcBorders>
            <w:vAlign w:val="center"/>
          </w:tcPr>
          <w:p w14:paraId="4248B6CA">
            <w:pPr>
              <w:spacing w:before="222" w:line="221" w:lineRule="auto"/>
              <w:ind w:left="142"/>
              <w:jc w:val="center"/>
              <w:rPr>
                <w:rFonts w:ascii="黑体" w:hAnsi="黑体" w:eastAsia="黑体" w:cs="黑体"/>
                <w:sz w:val="24"/>
                <w:szCs w:val="24"/>
              </w:rPr>
            </w:pPr>
            <w:r>
              <w:rPr>
                <w:rFonts w:ascii="黑体" w:hAnsi="黑体" w:eastAsia="黑体" w:cs="黑体"/>
                <w:spacing w:val="-2"/>
                <w:sz w:val="24"/>
                <w:szCs w:val="24"/>
              </w:rPr>
              <w:t>现场评估意见</w:t>
            </w:r>
          </w:p>
        </w:tc>
        <w:tc>
          <w:tcPr>
            <w:tcW w:w="1160" w:type="dxa"/>
            <w:tcBorders>
              <w:top w:val="single" w:color="000000" w:sz="10" w:space="0"/>
              <w:right w:val="single" w:color="000000" w:sz="10" w:space="0"/>
            </w:tcBorders>
            <w:vAlign w:val="center"/>
          </w:tcPr>
          <w:p w14:paraId="74A00573">
            <w:pPr>
              <w:spacing w:before="221" w:line="222" w:lineRule="auto"/>
              <w:ind w:left="202"/>
              <w:jc w:val="center"/>
              <w:rPr>
                <w:rFonts w:ascii="黑体" w:hAnsi="黑体" w:eastAsia="黑体" w:cs="黑体"/>
                <w:sz w:val="24"/>
                <w:szCs w:val="24"/>
              </w:rPr>
            </w:pPr>
            <w:r>
              <w:rPr>
                <w:rFonts w:ascii="黑体" w:hAnsi="黑体" w:eastAsia="黑体" w:cs="黑体"/>
                <w:spacing w:val="-5"/>
                <w:sz w:val="24"/>
                <w:szCs w:val="24"/>
              </w:rPr>
              <w:t>备注</w:t>
            </w:r>
          </w:p>
        </w:tc>
      </w:tr>
      <w:tr w14:paraId="5E3C0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904" w:type="dxa"/>
            <w:tcBorders>
              <w:left w:val="single" w:color="000000" w:sz="10" w:space="0"/>
            </w:tcBorders>
            <w:vAlign w:val="center"/>
          </w:tcPr>
          <w:p w14:paraId="75A24E96">
            <w:pPr>
              <w:spacing w:before="69" w:line="315" w:lineRule="exact"/>
              <w:jc w:val="center"/>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1</w:t>
            </w:r>
          </w:p>
        </w:tc>
        <w:tc>
          <w:tcPr>
            <w:tcW w:w="1665" w:type="dxa"/>
            <w:vAlign w:val="center"/>
          </w:tcPr>
          <w:p w14:paraId="5873AF75">
            <w:pPr>
              <w:pStyle w:val="11"/>
              <w:spacing w:before="65" w:line="223" w:lineRule="auto"/>
              <w:jc w:val="center"/>
              <w:rPr>
                <w:sz w:val="20"/>
                <w:szCs w:val="20"/>
              </w:rPr>
            </w:pPr>
            <w:r>
              <w:rPr>
                <w:spacing w:val="5"/>
                <w:sz w:val="20"/>
                <w:szCs w:val="20"/>
              </w:rPr>
              <w:t>责任追究</w:t>
            </w:r>
            <w:r>
              <w:rPr>
                <w:spacing w:val="4"/>
                <w:sz w:val="20"/>
                <w:szCs w:val="20"/>
              </w:rPr>
              <w:t>落实情况</w:t>
            </w:r>
          </w:p>
        </w:tc>
        <w:tc>
          <w:tcPr>
            <w:tcW w:w="8053" w:type="dxa"/>
            <w:vAlign w:val="center"/>
          </w:tcPr>
          <w:p w14:paraId="752E97F5">
            <w:pPr>
              <w:pStyle w:val="11"/>
              <w:numPr>
                <w:ilvl w:val="0"/>
                <w:numId w:val="0"/>
              </w:numPr>
              <w:spacing w:line="265" w:lineRule="exact"/>
              <w:ind w:left="119" w:leftChars="0"/>
              <w:jc w:val="center"/>
              <w:rPr>
                <w:rFonts w:hint="eastAsia" w:ascii="仿宋_GB2312" w:hAnsi="仿宋_GB2312" w:eastAsia="仿宋_GB2312" w:cs="仿宋_GB2312"/>
                <w:color w:val="auto"/>
                <w:spacing w:val="5"/>
                <w:position w:val="1"/>
                <w:sz w:val="20"/>
                <w:szCs w:val="20"/>
              </w:rPr>
            </w:pPr>
            <w:r>
              <w:rPr>
                <w:rFonts w:hint="eastAsia" w:ascii="仿宋_GB2312" w:hAnsi="仿宋_GB2312" w:eastAsia="仿宋_GB2312" w:cs="仿宋_GB2312"/>
                <w:color w:val="auto"/>
                <w:spacing w:val="5"/>
                <w:position w:val="1"/>
                <w:sz w:val="20"/>
                <w:szCs w:val="20"/>
                <w:lang w:val="en-US" w:eastAsia="zh-CN"/>
              </w:rPr>
              <w:t>1.夏*</w:t>
            </w:r>
            <w:r>
              <w:rPr>
                <w:rFonts w:hint="eastAsia" w:ascii="仿宋_GB2312" w:hAnsi="仿宋_GB2312" w:eastAsia="仿宋_GB2312" w:cs="仿宋_GB2312"/>
                <w:color w:val="auto"/>
                <w:spacing w:val="5"/>
                <w:position w:val="1"/>
                <w:sz w:val="20"/>
                <w:szCs w:val="20"/>
              </w:rPr>
              <w:t>行政处罚落实情况；</w:t>
            </w:r>
          </w:p>
          <w:p w14:paraId="72AA5D99">
            <w:pPr>
              <w:pStyle w:val="11"/>
              <w:spacing w:line="265" w:lineRule="exact"/>
              <w:ind w:left="119"/>
              <w:jc w:val="center"/>
              <w:rPr>
                <w:sz w:val="20"/>
                <w:szCs w:val="20"/>
              </w:rPr>
            </w:pPr>
            <w:r>
              <w:rPr>
                <w:rFonts w:hint="eastAsia" w:ascii="仿宋_GB2312" w:hAnsi="仿宋_GB2312" w:eastAsia="仿宋_GB2312" w:cs="仿宋_GB2312"/>
                <w:color w:val="auto"/>
                <w:spacing w:val="5"/>
                <w:position w:val="1"/>
                <w:sz w:val="20"/>
                <w:szCs w:val="20"/>
              </w:rPr>
              <w:t>2.</w:t>
            </w:r>
            <w:r>
              <w:rPr>
                <w:rFonts w:hint="eastAsia" w:ascii="仿宋_GB2312" w:hAnsi="仿宋_GB2312" w:eastAsia="仿宋_GB2312" w:cs="仿宋_GB2312"/>
                <w:color w:val="auto"/>
                <w:spacing w:val="5"/>
                <w:position w:val="1"/>
                <w:sz w:val="20"/>
                <w:szCs w:val="20"/>
                <w:lang w:val="en-US" w:eastAsia="zh-CN"/>
              </w:rPr>
              <w:t>嘉山路街道办事处、区住建局</w:t>
            </w:r>
            <w:r>
              <w:rPr>
                <w:rFonts w:hint="eastAsia" w:ascii="仿宋_GB2312" w:hAnsi="仿宋_GB2312" w:eastAsia="仿宋_GB2312" w:cs="仿宋_GB2312"/>
                <w:color w:val="auto"/>
                <w:spacing w:val="5"/>
                <w:position w:val="1"/>
                <w:sz w:val="20"/>
                <w:szCs w:val="20"/>
              </w:rPr>
              <w:t>深刻书面检查落实情况</w:t>
            </w:r>
            <w:r>
              <w:rPr>
                <w:rFonts w:hint="eastAsia"/>
                <w:spacing w:val="5"/>
                <w:position w:val="1"/>
                <w:sz w:val="20"/>
                <w:szCs w:val="20"/>
                <w:lang w:eastAsia="zh-CN"/>
              </w:rPr>
              <w:t>。</w:t>
            </w:r>
          </w:p>
        </w:tc>
        <w:tc>
          <w:tcPr>
            <w:tcW w:w="2186" w:type="dxa"/>
            <w:vAlign w:val="center"/>
          </w:tcPr>
          <w:p w14:paraId="6AF6124F">
            <w:pPr>
              <w:pStyle w:val="11"/>
              <w:spacing w:before="65" w:line="224" w:lineRule="auto"/>
              <w:jc w:val="center"/>
              <w:rPr>
                <w:sz w:val="20"/>
                <w:szCs w:val="20"/>
              </w:rPr>
            </w:pPr>
            <w:r>
              <w:rPr>
                <w:rFonts w:hint="eastAsia"/>
                <w:spacing w:val="-5"/>
                <w:sz w:val="20"/>
                <w:szCs w:val="20"/>
                <w:lang w:val="en-US" w:eastAsia="zh-CN"/>
              </w:rPr>
              <w:t>基本</w:t>
            </w:r>
            <w:r>
              <w:rPr>
                <w:spacing w:val="-5"/>
                <w:sz w:val="20"/>
                <w:szCs w:val="20"/>
              </w:rPr>
              <w:t>落实</w:t>
            </w:r>
          </w:p>
        </w:tc>
        <w:tc>
          <w:tcPr>
            <w:tcW w:w="1160" w:type="dxa"/>
            <w:tcBorders>
              <w:right w:val="single" w:color="000000" w:sz="10" w:space="0"/>
            </w:tcBorders>
            <w:vAlign w:val="center"/>
          </w:tcPr>
          <w:p w14:paraId="7FE32226">
            <w:pPr>
              <w:jc w:val="center"/>
              <w:rPr>
                <w:rFonts w:ascii="Arial"/>
                <w:sz w:val="21"/>
              </w:rPr>
            </w:pPr>
          </w:p>
        </w:tc>
      </w:tr>
      <w:tr w14:paraId="4EE4A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904" w:type="dxa"/>
            <w:tcBorders>
              <w:left w:val="single" w:color="000000" w:sz="10" w:space="0"/>
            </w:tcBorders>
            <w:vAlign w:val="center"/>
          </w:tcPr>
          <w:p w14:paraId="74EB02F6">
            <w:pPr>
              <w:spacing w:before="69" w:line="314" w:lineRule="exact"/>
              <w:jc w:val="center"/>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2</w:t>
            </w:r>
          </w:p>
        </w:tc>
        <w:tc>
          <w:tcPr>
            <w:tcW w:w="1665" w:type="dxa"/>
            <w:vAlign w:val="center"/>
          </w:tcPr>
          <w:p w14:paraId="3D58D742">
            <w:pPr>
              <w:pStyle w:val="11"/>
              <w:spacing w:before="20" w:line="223" w:lineRule="auto"/>
              <w:ind w:left="149"/>
              <w:jc w:val="center"/>
              <w:rPr>
                <w:sz w:val="20"/>
                <w:szCs w:val="20"/>
              </w:rPr>
            </w:pPr>
            <w:r>
              <w:rPr>
                <w:rFonts w:hint="eastAsia"/>
                <w:spacing w:val="8"/>
                <w:sz w:val="20"/>
                <w:szCs w:val="20"/>
                <w:lang w:val="en-US" w:eastAsia="zh-CN"/>
              </w:rPr>
              <w:t>夏*</w:t>
            </w:r>
            <w:r>
              <w:rPr>
                <w:spacing w:val="8"/>
                <w:sz w:val="20"/>
                <w:szCs w:val="20"/>
              </w:rPr>
              <w:t>落实</w:t>
            </w:r>
            <w:r>
              <w:rPr>
                <w:spacing w:val="7"/>
                <w:sz w:val="20"/>
                <w:szCs w:val="20"/>
              </w:rPr>
              <w:t>事故防范和整改措</w:t>
            </w:r>
            <w:r>
              <w:rPr>
                <w:spacing w:val="6"/>
                <w:sz w:val="20"/>
                <w:szCs w:val="20"/>
              </w:rPr>
              <w:t>施情况</w:t>
            </w:r>
          </w:p>
        </w:tc>
        <w:tc>
          <w:tcPr>
            <w:tcW w:w="8053" w:type="dxa"/>
            <w:vAlign w:val="center"/>
          </w:tcPr>
          <w:p w14:paraId="1DB26CF9">
            <w:pPr>
              <w:pStyle w:val="11"/>
              <w:spacing w:before="34" w:line="232" w:lineRule="auto"/>
              <w:ind w:left="100" w:right="43" w:firstLine="8"/>
              <w:jc w:val="center"/>
              <w:rPr>
                <w:sz w:val="20"/>
                <w:szCs w:val="20"/>
              </w:rPr>
            </w:pPr>
            <w:r>
              <w:rPr>
                <w:rFonts w:hint="eastAsia"/>
                <w:sz w:val="20"/>
                <w:szCs w:val="20"/>
                <w:lang w:val="en-US" w:eastAsia="zh-CN"/>
              </w:rPr>
              <w:t>要深刻吸取教训，举一反三，正确履行安全管理职责，严格落实安全生产主体责任，严格遵守有关安全生产法律法规等规范标准规定；加强从业人员安全生产教育和培训，掌握本岗位的安全操作规程，未经考核合格人员不得上岗作业，防范事故的再次发生。</w:t>
            </w:r>
          </w:p>
        </w:tc>
        <w:tc>
          <w:tcPr>
            <w:tcW w:w="2186" w:type="dxa"/>
            <w:vAlign w:val="center"/>
          </w:tcPr>
          <w:p w14:paraId="12F1FD1A">
            <w:pPr>
              <w:pStyle w:val="11"/>
              <w:spacing w:before="65" w:line="224" w:lineRule="auto"/>
              <w:jc w:val="center"/>
              <w:rPr>
                <w:sz w:val="20"/>
                <w:szCs w:val="20"/>
              </w:rPr>
            </w:pPr>
            <w:r>
              <w:rPr>
                <w:rFonts w:hint="eastAsia"/>
                <w:spacing w:val="-5"/>
                <w:sz w:val="20"/>
                <w:szCs w:val="20"/>
                <w:lang w:val="en-US" w:eastAsia="zh-CN"/>
              </w:rPr>
              <w:t>基本</w:t>
            </w:r>
            <w:r>
              <w:rPr>
                <w:spacing w:val="-5"/>
                <w:sz w:val="20"/>
                <w:szCs w:val="20"/>
              </w:rPr>
              <w:t>落实</w:t>
            </w:r>
          </w:p>
        </w:tc>
        <w:tc>
          <w:tcPr>
            <w:tcW w:w="1160" w:type="dxa"/>
            <w:tcBorders>
              <w:right w:val="single" w:color="000000" w:sz="10" w:space="0"/>
            </w:tcBorders>
            <w:vAlign w:val="center"/>
          </w:tcPr>
          <w:p w14:paraId="398A7257">
            <w:pPr>
              <w:jc w:val="center"/>
              <w:rPr>
                <w:rFonts w:ascii="Arial"/>
                <w:sz w:val="21"/>
              </w:rPr>
            </w:pPr>
          </w:p>
        </w:tc>
      </w:tr>
      <w:tr w14:paraId="54333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904" w:type="dxa"/>
            <w:tcBorders>
              <w:left w:val="single" w:color="000000" w:sz="10" w:space="0"/>
            </w:tcBorders>
            <w:vAlign w:val="center"/>
          </w:tcPr>
          <w:p w14:paraId="2EF1B25D">
            <w:pPr>
              <w:spacing w:before="69" w:line="315" w:lineRule="exact"/>
              <w:jc w:val="center"/>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1665" w:type="dxa"/>
            <w:vAlign w:val="center"/>
          </w:tcPr>
          <w:p w14:paraId="743FD430">
            <w:pPr>
              <w:pStyle w:val="11"/>
              <w:spacing w:before="19" w:line="222" w:lineRule="auto"/>
              <w:ind w:left="144"/>
              <w:jc w:val="center"/>
              <w:rPr>
                <w:sz w:val="20"/>
                <w:szCs w:val="20"/>
              </w:rPr>
            </w:pPr>
            <w:r>
              <w:rPr>
                <w:rFonts w:hint="eastAsia"/>
                <w:sz w:val="20"/>
                <w:szCs w:val="20"/>
                <w:lang w:val="en-US" w:eastAsia="zh-CN"/>
              </w:rPr>
              <w:t>嘉山路街道办事处</w:t>
            </w:r>
            <w:r>
              <w:rPr>
                <w:spacing w:val="8"/>
                <w:sz w:val="20"/>
                <w:szCs w:val="20"/>
              </w:rPr>
              <w:t>落</w:t>
            </w:r>
            <w:r>
              <w:rPr>
                <w:spacing w:val="7"/>
                <w:sz w:val="20"/>
                <w:szCs w:val="20"/>
              </w:rPr>
              <w:t>实事故防范和整改措施情况</w:t>
            </w:r>
          </w:p>
        </w:tc>
        <w:tc>
          <w:tcPr>
            <w:tcW w:w="8053" w:type="dxa"/>
            <w:vAlign w:val="center"/>
          </w:tcPr>
          <w:p w14:paraId="44278584">
            <w:pPr>
              <w:pStyle w:val="11"/>
              <w:spacing w:before="35" w:line="235" w:lineRule="auto"/>
              <w:ind w:left="99" w:right="113" w:firstLine="9"/>
              <w:jc w:val="center"/>
              <w:rPr>
                <w:sz w:val="20"/>
                <w:szCs w:val="20"/>
              </w:rPr>
            </w:pPr>
            <w:r>
              <w:rPr>
                <w:rFonts w:hint="eastAsia"/>
                <w:sz w:val="20"/>
                <w:szCs w:val="20"/>
                <w:lang w:val="en-US" w:eastAsia="zh-CN"/>
              </w:rPr>
              <w:t>要深刻吸取事故教训，严格履行属地管理责任，认真分析查找小散工程和零星作业领域安全监管存在的主要问题和薄弱环节，采取有效措施，堵塞安全管理漏洞，补齐工作上的短板，坚决扭转安全生产被动局面。</w:t>
            </w:r>
          </w:p>
        </w:tc>
        <w:tc>
          <w:tcPr>
            <w:tcW w:w="2186" w:type="dxa"/>
            <w:vAlign w:val="center"/>
          </w:tcPr>
          <w:p w14:paraId="55C00968">
            <w:pPr>
              <w:pStyle w:val="11"/>
              <w:spacing w:before="65" w:line="224" w:lineRule="auto"/>
              <w:jc w:val="center"/>
              <w:rPr>
                <w:sz w:val="20"/>
                <w:szCs w:val="20"/>
              </w:rPr>
            </w:pPr>
            <w:r>
              <w:rPr>
                <w:spacing w:val="-5"/>
                <w:sz w:val="20"/>
                <w:szCs w:val="20"/>
              </w:rPr>
              <w:t>已落实</w:t>
            </w:r>
          </w:p>
        </w:tc>
        <w:tc>
          <w:tcPr>
            <w:tcW w:w="1160" w:type="dxa"/>
            <w:tcBorders>
              <w:right w:val="single" w:color="000000" w:sz="10" w:space="0"/>
            </w:tcBorders>
            <w:vAlign w:val="center"/>
          </w:tcPr>
          <w:p w14:paraId="4ACDA22F">
            <w:pPr>
              <w:jc w:val="center"/>
              <w:rPr>
                <w:rFonts w:ascii="Arial"/>
                <w:sz w:val="21"/>
              </w:rPr>
            </w:pPr>
          </w:p>
        </w:tc>
      </w:tr>
      <w:tr w14:paraId="487DD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904" w:type="dxa"/>
            <w:tcBorders>
              <w:left w:val="single" w:color="000000" w:sz="10" w:space="0"/>
            </w:tcBorders>
            <w:vAlign w:val="center"/>
          </w:tcPr>
          <w:p w14:paraId="0957114A">
            <w:pPr>
              <w:spacing w:before="69" w:line="315" w:lineRule="exact"/>
              <w:jc w:val="center"/>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4</w:t>
            </w:r>
          </w:p>
        </w:tc>
        <w:tc>
          <w:tcPr>
            <w:tcW w:w="1665" w:type="dxa"/>
            <w:vAlign w:val="center"/>
          </w:tcPr>
          <w:p w14:paraId="1DDC0CF4">
            <w:pPr>
              <w:pStyle w:val="11"/>
              <w:spacing w:before="19" w:line="189" w:lineRule="auto"/>
              <w:jc w:val="center"/>
              <w:rPr>
                <w:sz w:val="20"/>
                <w:szCs w:val="20"/>
              </w:rPr>
            </w:pPr>
            <w:r>
              <w:rPr>
                <w:rFonts w:hint="eastAsia"/>
                <w:sz w:val="20"/>
                <w:szCs w:val="20"/>
                <w:lang w:val="en-US" w:eastAsia="zh-CN"/>
              </w:rPr>
              <w:t>区住建局</w:t>
            </w:r>
            <w:r>
              <w:rPr>
                <w:spacing w:val="8"/>
                <w:sz w:val="20"/>
                <w:szCs w:val="20"/>
              </w:rPr>
              <w:t>落实事故防范和改措施情况</w:t>
            </w:r>
          </w:p>
        </w:tc>
        <w:tc>
          <w:tcPr>
            <w:tcW w:w="8053" w:type="dxa"/>
            <w:vAlign w:val="center"/>
          </w:tcPr>
          <w:p w14:paraId="2A7A367E">
            <w:pPr>
              <w:pStyle w:val="11"/>
              <w:spacing w:before="47" w:line="227" w:lineRule="auto"/>
              <w:ind w:left="102" w:right="113" w:firstLine="7"/>
              <w:jc w:val="center"/>
              <w:rPr>
                <w:sz w:val="20"/>
                <w:szCs w:val="20"/>
              </w:rPr>
            </w:pPr>
            <w:r>
              <w:rPr>
                <w:rFonts w:hint="eastAsia"/>
                <w:sz w:val="20"/>
                <w:szCs w:val="20"/>
                <w:lang w:val="en-US" w:eastAsia="zh-CN"/>
              </w:rPr>
              <w:t>要深刻吸取事故教训，严格落实行业安全监管责任。针对小散工程和零星作业事故发生特点，要结合实际情况制定针对性的事故防范措施，督促企业严格落实安全生产主体责任，及时排查和消除事故隐患，有效防范事故的发生。</w:t>
            </w:r>
          </w:p>
        </w:tc>
        <w:tc>
          <w:tcPr>
            <w:tcW w:w="2186" w:type="dxa"/>
            <w:vAlign w:val="center"/>
          </w:tcPr>
          <w:p w14:paraId="4BC0F1FF">
            <w:pPr>
              <w:pStyle w:val="11"/>
              <w:spacing w:before="65" w:line="224" w:lineRule="auto"/>
              <w:jc w:val="center"/>
              <w:rPr>
                <w:sz w:val="20"/>
                <w:szCs w:val="20"/>
              </w:rPr>
            </w:pPr>
            <w:r>
              <w:rPr>
                <w:spacing w:val="-5"/>
                <w:sz w:val="20"/>
                <w:szCs w:val="20"/>
              </w:rPr>
              <w:t>已落实</w:t>
            </w:r>
          </w:p>
        </w:tc>
        <w:tc>
          <w:tcPr>
            <w:tcW w:w="1160" w:type="dxa"/>
            <w:tcBorders>
              <w:right w:val="single" w:color="000000" w:sz="10" w:space="0"/>
            </w:tcBorders>
            <w:vAlign w:val="center"/>
          </w:tcPr>
          <w:p w14:paraId="448E5FA7">
            <w:pPr>
              <w:jc w:val="center"/>
              <w:rPr>
                <w:rFonts w:ascii="Arial"/>
                <w:sz w:val="21"/>
              </w:rPr>
            </w:pPr>
          </w:p>
        </w:tc>
      </w:tr>
    </w:tbl>
    <w:p w14:paraId="1CAFC789">
      <w:pPr>
        <w:spacing w:line="54" w:lineRule="auto"/>
        <w:rPr>
          <w:rFonts w:ascii="Arial"/>
          <w:sz w:val="2"/>
        </w:rPr>
      </w:pPr>
    </w:p>
    <w:p w14:paraId="238C1DA6">
      <w:pPr>
        <w:spacing w:before="169" w:line="230" w:lineRule="auto"/>
        <w:ind w:left="1"/>
        <w:rPr>
          <w:rFonts w:ascii="黑体" w:hAnsi="黑体" w:eastAsia="黑体" w:cs="黑体"/>
          <w:spacing w:val="24"/>
          <w:sz w:val="31"/>
          <w:szCs w:val="31"/>
        </w:rPr>
      </w:pPr>
    </w:p>
    <w:p w14:paraId="67541976">
      <w:pPr>
        <w:spacing w:before="169" w:line="230" w:lineRule="auto"/>
        <w:ind w:left="1"/>
        <w:rPr>
          <w:rFonts w:ascii="黑体" w:hAnsi="黑体" w:eastAsia="黑体" w:cs="黑体"/>
          <w:spacing w:val="24"/>
          <w:sz w:val="31"/>
          <w:szCs w:val="31"/>
        </w:rPr>
      </w:pPr>
    </w:p>
    <w:p w14:paraId="484C4606">
      <w:pPr>
        <w:spacing w:before="169" w:line="230" w:lineRule="auto"/>
        <w:ind w:left="1"/>
        <w:rPr>
          <w:rFonts w:hint="eastAsia" w:ascii="黑体" w:hAnsi="黑体" w:eastAsia="黑体" w:cs="黑体"/>
          <w:sz w:val="31"/>
          <w:szCs w:val="31"/>
          <w:lang w:eastAsia="zh-CN"/>
        </w:rPr>
      </w:pPr>
      <w:r>
        <w:rPr>
          <w:rFonts w:ascii="黑体" w:hAnsi="黑体" w:eastAsia="黑体" w:cs="黑体"/>
          <w:spacing w:val="24"/>
          <w:sz w:val="31"/>
          <w:szCs w:val="31"/>
        </w:rPr>
        <w:t>附件</w:t>
      </w:r>
      <w:r>
        <w:rPr>
          <w:rFonts w:hint="eastAsia" w:ascii="黑体" w:hAnsi="黑体" w:eastAsia="黑体" w:cs="黑体"/>
          <w:spacing w:val="24"/>
          <w:sz w:val="31"/>
          <w:szCs w:val="31"/>
          <w:lang w:val="en-US" w:eastAsia="zh-CN"/>
        </w:rPr>
        <w:t>3</w:t>
      </w:r>
    </w:p>
    <w:p w14:paraId="54ABA949">
      <w:pPr>
        <w:spacing w:before="163" w:line="232" w:lineRule="auto"/>
        <w:ind w:left="1656"/>
        <w:rPr>
          <w:rFonts w:ascii="方正小标宋简体" w:hAnsi="方正小标宋简体" w:eastAsia="方正小标宋简体" w:cs="方正小标宋简体"/>
          <w:sz w:val="35"/>
          <w:szCs w:val="35"/>
        </w:rPr>
      </w:pPr>
      <w:r>
        <w:rPr>
          <w:rFonts w:hint="eastAsia" w:ascii="方正小标宋简体" w:hAnsi="方正小标宋简体" w:eastAsia="方正小标宋简体" w:cs="方正小标宋简体"/>
          <w:spacing w:val="4"/>
          <w:sz w:val="35"/>
          <w:szCs w:val="35"/>
          <w:lang w:eastAsia="zh-CN"/>
        </w:rPr>
        <w:t>瑶海嘉山路圣涛牛肉汤店“8·24”一般触电事故</w:t>
      </w:r>
      <w:r>
        <w:rPr>
          <w:rFonts w:ascii="方正小标宋简体" w:hAnsi="方正小标宋简体" w:eastAsia="方正小标宋简体" w:cs="方正小标宋简体"/>
          <w:spacing w:val="4"/>
          <w:sz w:val="35"/>
          <w:szCs w:val="35"/>
        </w:rPr>
        <w:t>责任追究落实情况表</w:t>
      </w:r>
    </w:p>
    <w:p w14:paraId="13AEADF8">
      <w:pPr>
        <w:spacing w:line="239" w:lineRule="exact"/>
      </w:pPr>
    </w:p>
    <w:tbl>
      <w:tblPr>
        <w:tblStyle w:val="10"/>
        <w:tblW w:w="13128" w:type="dxa"/>
        <w:tblInd w:w="3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
        <w:gridCol w:w="2692"/>
        <w:gridCol w:w="4674"/>
        <w:gridCol w:w="4921"/>
      </w:tblGrid>
      <w:tr w14:paraId="67BE1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841" w:type="dxa"/>
            <w:vAlign w:val="center"/>
          </w:tcPr>
          <w:p w14:paraId="467B65ED">
            <w:pPr>
              <w:spacing w:before="91" w:line="224" w:lineRule="auto"/>
              <w:jc w:val="center"/>
              <w:rPr>
                <w:rFonts w:ascii="黑体" w:hAnsi="黑体" w:eastAsia="黑体" w:cs="黑体"/>
                <w:sz w:val="28"/>
                <w:szCs w:val="28"/>
              </w:rPr>
            </w:pPr>
            <w:r>
              <w:rPr>
                <w:rFonts w:ascii="黑体" w:hAnsi="黑体" w:eastAsia="黑体" w:cs="黑体"/>
                <w:spacing w:val="-5"/>
                <w:sz w:val="28"/>
                <w:szCs w:val="28"/>
              </w:rPr>
              <w:t>序号</w:t>
            </w:r>
          </w:p>
        </w:tc>
        <w:tc>
          <w:tcPr>
            <w:tcW w:w="2692" w:type="dxa"/>
            <w:vAlign w:val="center"/>
          </w:tcPr>
          <w:p w14:paraId="772FC56E">
            <w:pPr>
              <w:spacing w:before="196" w:line="222" w:lineRule="auto"/>
              <w:ind w:left="661"/>
              <w:jc w:val="center"/>
              <w:rPr>
                <w:rFonts w:ascii="黑体" w:hAnsi="黑体" w:eastAsia="黑体" w:cs="黑体"/>
                <w:sz w:val="28"/>
                <w:szCs w:val="28"/>
              </w:rPr>
            </w:pPr>
            <w:r>
              <w:rPr>
                <w:rFonts w:ascii="黑体" w:hAnsi="黑体" w:eastAsia="黑体" w:cs="黑体"/>
                <w:spacing w:val="-4"/>
                <w:sz w:val="28"/>
                <w:szCs w:val="28"/>
              </w:rPr>
              <w:t>事故责任人</w:t>
            </w:r>
          </w:p>
          <w:p w14:paraId="2C86D9BA">
            <w:pPr>
              <w:spacing w:before="23" w:line="222" w:lineRule="auto"/>
              <w:ind w:left="659"/>
              <w:jc w:val="center"/>
              <w:rPr>
                <w:rFonts w:ascii="黑体" w:hAnsi="黑体" w:eastAsia="黑体" w:cs="黑体"/>
                <w:sz w:val="28"/>
                <w:szCs w:val="28"/>
              </w:rPr>
            </w:pPr>
            <w:r>
              <w:rPr>
                <w:rFonts w:ascii="黑体" w:hAnsi="黑体" w:eastAsia="黑体" w:cs="黑体"/>
                <w:spacing w:val="-3"/>
                <w:sz w:val="28"/>
                <w:szCs w:val="28"/>
              </w:rPr>
              <w:t>或责任单位</w:t>
            </w:r>
          </w:p>
        </w:tc>
        <w:tc>
          <w:tcPr>
            <w:tcW w:w="4674" w:type="dxa"/>
            <w:vAlign w:val="center"/>
          </w:tcPr>
          <w:p w14:paraId="76DE36BB">
            <w:pPr>
              <w:spacing w:before="91" w:line="222" w:lineRule="auto"/>
              <w:jc w:val="center"/>
              <w:rPr>
                <w:rFonts w:ascii="黑体" w:hAnsi="黑体" w:eastAsia="黑体" w:cs="黑体"/>
                <w:sz w:val="28"/>
                <w:szCs w:val="28"/>
              </w:rPr>
            </w:pPr>
            <w:r>
              <w:rPr>
                <w:rFonts w:ascii="黑体" w:hAnsi="黑体" w:eastAsia="黑体" w:cs="黑体"/>
                <w:spacing w:val="-3"/>
                <w:sz w:val="28"/>
                <w:szCs w:val="28"/>
              </w:rPr>
              <w:t>处理意见</w:t>
            </w:r>
          </w:p>
        </w:tc>
        <w:tc>
          <w:tcPr>
            <w:tcW w:w="4921" w:type="dxa"/>
            <w:vAlign w:val="center"/>
          </w:tcPr>
          <w:p w14:paraId="74907BE7">
            <w:pPr>
              <w:spacing w:before="91" w:line="222" w:lineRule="auto"/>
              <w:jc w:val="center"/>
              <w:rPr>
                <w:rFonts w:ascii="黑体" w:hAnsi="黑体" w:eastAsia="黑体" w:cs="黑体"/>
                <w:sz w:val="28"/>
                <w:szCs w:val="28"/>
              </w:rPr>
            </w:pPr>
            <w:r>
              <w:rPr>
                <w:rFonts w:ascii="黑体" w:hAnsi="黑体" w:eastAsia="黑体" w:cs="黑体"/>
                <w:spacing w:val="-4"/>
                <w:sz w:val="28"/>
                <w:szCs w:val="28"/>
              </w:rPr>
              <w:t>落实情况</w:t>
            </w:r>
          </w:p>
        </w:tc>
      </w:tr>
      <w:tr w14:paraId="7729B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5" w:hRule="atLeast"/>
        </w:trPr>
        <w:tc>
          <w:tcPr>
            <w:tcW w:w="841" w:type="dxa"/>
            <w:vAlign w:val="center"/>
          </w:tcPr>
          <w:p w14:paraId="1E60F127">
            <w:pPr>
              <w:pStyle w:val="11"/>
              <w:spacing w:before="91" w:line="373" w:lineRule="exact"/>
              <w:jc w:val="center"/>
              <w:rPr>
                <w:rFonts w:ascii="FangSong_GB2312" w:hAnsi="FangSong_GB2312" w:eastAsia="FangSong_GB2312" w:cs="FangSong_GB2312"/>
                <w:snapToGrid w:val="0"/>
                <w:color w:val="000000"/>
                <w:spacing w:val="-2"/>
                <w:kern w:val="0"/>
                <w:sz w:val="28"/>
                <w:szCs w:val="28"/>
                <w:lang w:val="en-US" w:eastAsia="en-US" w:bidi="ar-SA"/>
              </w:rPr>
            </w:pPr>
            <w:r>
              <w:rPr>
                <w:rFonts w:ascii="FangSong_GB2312" w:hAnsi="FangSong_GB2312" w:eastAsia="FangSong_GB2312" w:cs="FangSong_GB2312"/>
                <w:snapToGrid w:val="0"/>
                <w:color w:val="000000"/>
                <w:spacing w:val="-2"/>
                <w:kern w:val="0"/>
                <w:sz w:val="28"/>
                <w:szCs w:val="28"/>
                <w:lang w:val="en-US" w:eastAsia="en-US" w:bidi="ar-SA"/>
              </w:rPr>
              <w:t>1</w:t>
            </w:r>
          </w:p>
        </w:tc>
        <w:tc>
          <w:tcPr>
            <w:tcW w:w="2692" w:type="dxa"/>
            <w:vAlign w:val="center"/>
          </w:tcPr>
          <w:p w14:paraId="31942788">
            <w:pPr>
              <w:pStyle w:val="11"/>
              <w:spacing w:before="101" w:line="219" w:lineRule="auto"/>
              <w:jc w:val="center"/>
              <w:rPr>
                <w:rFonts w:hint="eastAsia" w:ascii="FangSong_GB2312" w:hAnsi="FangSong_GB2312" w:eastAsia="FangSong_GB2312" w:cs="FangSong_GB2312"/>
                <w:snapToGrid w:val="0"/>
                <w:color w:val="000000"/>
                <w:spacing w:val="-2"/>
                <w:kern w:val="0"/>
                <w:sz w:val="28"/>
                <w:szCs w:val="28"/>
                <w:lang w:val="en-US" w:eastAsia="zh-CN" w:bidi="ar-SA"/>
              </w:rPr>
            </w:pPr>
            <w:r>
              <w:rPr>
                <w:rFonts w:hint="eastAsia" w:ascii="FangSong_GB2312" w:hAnsi="FangSong_GB2312" w:eastAsia="FangSong_GB2312" w:cs="FangSong_GB2312"/>
                <w:snapToGrid w:val="0"/>
                <w:color w:val="000000"/>
                <w:spacing w:val="-2"/>
                <w:kern w:val="0"/>
                <w:sz w:val="28"/>
                <w:szCs w:val="28"/>
                <w:lang w:val="en-US" w:eastAsia="zh-CN" w:bidi="ar-SA"/>
              </w:rPr>
              <w:t>夏</w:t>
            </w:r>
            <w:r>
              <w:rPr>
                <w:rFonts w:hint="eastAsia" w:cs="FangSong_GB2312"/>
                <w:snapToGrid w:val="0"/>
                <w:color w:val="000000"/>
                <w:spacing w:val="-2"/>
                <w:kern w:val="0"/>
                <w:sz w:val="28"/>
                <w:szCs w:val="28"/>
                <w:lang w:val="en-US" w:eastAsia="zh-CN" w:bidi="ar-SA"/>
              </w:rPr>
              <w:t>*</w:t>
            </w:r>
          </w:p>
        </w:tc>
        <w:tc>
          <w:tcPr>
            <w:tcW w:w="4674" w:type="dxa"/>
            <w:vAlign w:val="center"/>
          </w:tcPr>
          <w:p w14:paraId="1FC305DC">
            <w:pPr>
              <w:pStyle w:val="11"/>
              <w:spacing w:before="91" w:line="214" w:lineRule="auto"/>
              <w:jc w:val="center"/>
              <w:rPr>
                <w:rFonts w:ascii="FangSong_GB2312" w:hAnsi="FangSong_GB2312" w:eastAsia="FangSong_GB2312" w:cs="FangSong_GB2312"/>
                <w:snapToGrid w:val="0"/>
                <w:color w:val="000000"/>
                <w:spacing w:val="-2"/>
                <w:kern w:val="0"/>
                <w:sz w:val="28"/>
                <w:szCs w:val="28"/>
                <w:lang w:val="en-US" w:eastAsia="en-US" w:bidi="ar-SA"/>
              </w:rPr>
            </w:pPr>
            <w:r>
              <w:rPr>
                <w:rFonts w:hint="eastAsia" w:ascii="FangSong_GB2312" w:hAnsi="FangSong_GB2312" w:eastAsia="FangSong_GB2312" w:cs="FangSong_GB2312"/>
                <w:snapToGrid w:val="0"/>
                <w:color w:val="000000"/>
                <w:spacing w:val="-2"/>
                <w:kern w:val="0"/>
                <w:sz w:val="28"/>
                <w:szCs w:val="28"/>
                <w:lang w:val="en-US" w:eastAsia="zh-CN" w:bidi="ar-SA"/>
              </w:rPr>
              <w:t>给予人民币贰</w:t>
            </w:r>
            <w:r>
              <w:rPr>
                <w:rFonts w:hint="default" w:ascii="FangSong_GB2312" w:hAnsi="FangSong_GB2312" w:eastAsia="FangSong_GB2312" w:cs="FangSong_GB2312"/>
                <w:snapToGrid w:val="0"/>
                <w:color w:val="000000"/>
                <w:spacing w:val="-2"/>
                <w:kern w:val="0"/>
                <w:sz w:val="28"/>
                <w:szCs w:val="28"/>
                <w:lang w:val="en-US" w:eastAsia="zh-CN" w:bidi="ar-SA"/>
              </w:rPr>
              <w:t>万</w:t>
            </w:r>
            <w:r>
              <w:rPr>
                <w:rFonts w:hint="eastAsia" w:ascii="FangSong_GB2312" w:hAnsi="FangSong_GB2312" w:eastAsia="FangSong_GB2312" w:cs="FangSong_GB2312"/>
                <w:snapToGrid w:val="0"/>
                <w:color w:val="000000"/>
                <w:spacing w:val="-2"/>
                <w:kern w:val="0"/>
                <w:sz w:val="28"/>
                <w:szCs w:val="28"/>
                <w:lang w:val="en-US" w:eastAsia="zh-CN" w:bidi="ar-SA"/>
              </w:rPr>
              <w:t>伍仟</w:t>
            </w:r>
            <w:r>
              <w:rPr>
                <w:rFonts w:hint="default" w:ascii="FangSong_GB2312" w:hAnsi="FangSong_GB2312" w:eastAsia="FangSong_GB2312" w:cs="FangSong_GB2312"/>
                <w:snapToGrid w:val="0"/>
                <w:color w:val="000000"/>
                <w:spacing w:val="-2"/>
                <w:kern w:val="0"/>
                <w:sz w:val="28"/>
                <w:szCs w:val="28"/>
                <w:lang w:val="en-US" w:eastAsia="zh-CN" w:bidi="ar-SA"/>
              </w:rPr>
              <w:t>元</w:t>
            </w:r>
            <w:r>
              <w:rPr>
                <w:rFonts w:ascii="FangSong_GB2312" w:hAnsi="FangSong_GB2312" w:eastAsia="FangSong_GB2312" w:cs="FangSong_GB2312"/>
                <w:snapToGrid w:val="0"/>
                <w:color w:val="000000"/>
                <w:spacing w:val="-2"/>
                <w:kern w:val="0"/>
                <w:sz w:val="28"/>
                <w:szCs w:val="28"/>
                <w:lang w:val="en-US" w:eastAsia="en-US" w:bidi="ar-SA"/>
              </w:rPr>
              <w:t>整罚款</w:t>
            </w:r>
          </w:p>
        </w:tc>
        <w:tc>
          <w:tcPr>
            <w:tcW w:w="4921" w:type="dxa"/>
            <w:vAlign w:val="center"/>
          </w:tcPr>
          <w:p w14:paraId="0669FA59">
            <w:pPr>
              <w:pStyle w:val="11"/>
              <w:spacing w:before="133" w:line="238" w:lineRule="auto"/>
              <w:ind w:left="120" w:firstLine="8"/>
              <w:jc w:val="center"/>
              <w:rPr>
                <w:rFonts w:ascii="FangSong_GB2312" w:hAnsi="FangSong_GB2312" w:eastAsia="FangSong_GB2312" w:cs="FangSong_GB2312"/>
                <w:snapToGrid w:val="0"/>
                <w:color w:val="000000"/>
                <w:spacing w:val="-2"/>
                <w:kern w:val="0"/>
                <w:sz w:val="28"/>
                <w:szCs w:val="28"/>
                <w:lang w:val="en-US" w:eastAsia="en-US" w:bidi="ar-SA"/>
              </w:rPr>
            </w:pPr>
            <w:r>
              <w:rPr>
                <w:rFonts w:hint="eastAsia" w:ascii="FangSong_GB2312" w:hAnsi="FangSong_GB2312" w:eastAsia="FangSong_GB2312" w:cs="FangSong_GB2312"/>
                <w:snapToGrid w:val="0"/>
                <w:color w:val="000000"/>
                <w:spacing w:val="-2"/>
                <w:kern w:val="0"/>
                <w:sz w:val="28"/>
                <w:szCs w:val="28"/>
                <w:lang w:val="en-US" w:eastAsia="zh-CN" w:bidi="ar-SA"/>
              </w:rPr>
              <w:t>未缴纳罚款。</w:t>
            </w:r>
          </w:p>
        </w:tc>
      </w:tr>
      <w:tr w14:paraId="22539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5" w:hRule="atLeast"/>
        </w:trPr>
        <w:tc>
          <w:tcPr>
            <w:tcW w:w="841" w:type="dxa"/>
            <w:vAlign w:val="center"/>
          </w:tcPr>
          <w:p w14:paraId="66E1E7D9">
            <w:pPr>
              <w:pStyle w:val="11"/>
              <w:spacing w:before="91" w:line="216" w:lineRule="auto"/>
              <w:ind w:left="120" w:leftChars="0"/>
              <w:jc w:val="center"/>
              <w:rPr>
                <w:rFonts w:hint="eastAsia" w:ascii="FangSong_GB2312" w:hAnsi="FangSong_GB2312" w:eastAsia="FangSong_GB2312" w:cs="FangSong_GB2312"/>
                <w:snapToGrid w:val="0"/>
                <w:color w:val="000000"/>
                <w:spacing w:val="-2"/>
                <w:kern w:val="0"/>
                <w:sz w:val="28"/>
                <w:szCs w:val="28"/>
                <w:lang w:val="en-US" w:eastAsia="zh-CN" w:bidi="ar-SA"/>
              </w:rPr>
            </w:pPr>
            <w:r>
              <w:rPr>
                <w:rFonts w:hint="eastAsia" w:ascii="FangSong_GB2312" w:hAnsi="FangSong_GB2312" w:eastAsia="FangSong_GB2312" w:cs="FangSong_GB2312"/>
                <w:snapToGrid w:val="0"/>
                <w:color w:val="000000"/>
                <w:spacing w:val="-2"/>
                <w:kern w:val="0"/>
                <w:sz w:val="28"/>
                <w:szCs w:val="28"/>
                <w:lang w:val="en-US" w:eastAsia="zh-CN" w:bidi="ar-SA"/>
              </w:rPr>
              <w:t>2</w:t>
            </w:r>
          </w:p>
        </w:tc>
        <w:tc>
          <w:tcPr>
            <w:tcW w:w="2692" w:type="dxa"/>
            <w:vAlign w:val="center"/>
          </w:tcPr>
          <w:p w14:paraId="34F4B1FA">
            <w:pPr>
              <w:pStyle w:val="11"/>
              <w:spacing w:before="91" w:line="216" w:lineRule="auto"/>
              <w:ind w:left="120" w:leftChars="0"/>
              <w:jc w:val="center"/>
              <w:rPr>
                <w:rFonts w:ascii="FangSong_GB2312" w:hAnsi="FangSong_GB2312" w:eastAsia="FangSong_GB2312" w:cs="FangSong_GB2312"/>
                <w:snapToGrid w:val="0"/>
                <w:color w:val="000000"/>
                <w:spacing w:val="-2"/>
                <w:kern w:val="0"/>
                <w:sz w:val="28"/>
                <w:szCs w:val="28"/>
                <w:lang w:val="en-US" w:eastAsia="en-US" w:bidi="ar-SA"/>
              </w:rPr>
            </w:pPr>
            <w:r>
              <w:rPr>
                <w:rFonts w:hint="eastAsia" w:cs="FangSong_GB2312"/>
                <w:snapToGrid w:val="0"/>
                <w:color w:val="000000"/>
                <w:spacing w:val="-2"/>
                <w:kern w:val="0"/>
                <w:sz w:val="28"/>
                <w:szCs w:val="28"/>
                <w:lang w:val="en-US" w:eastAsia="zh-CN" w:bidi="ar-SA"/>
              </w:rPr>
              <w:t>嘉山路</w:t>
            </w:r>
            <w:r>
              <w:rPr>
                <w:rFonts w:hint="eastAsia" w:ascii="FangSong_GB2312" w:hAnsi="FangSong_GB2312" w:eastAsia="FangSong_GB2312" w:cs="FangSong_GB2312"/>
                <w:snapToGrid w:val="0"/>
                <w:color w:val="000000"/>
                <w:spacing w:val="-2"/>
                <w:kern w:val="0"/>
                <w:sz w:val="28"/>
                <w:szCs w:val="28"/>
                <w:lang w:val="en-US" w:eastAsia="zh-CN" w:bidi="ar-SA"/>
              </w:rPr>
              <w:t>街道办事处</w:t>
            </w:r>
          </w:p>
        </w:tc>
        <w:tc>
          <w:tcPr>
            <w:tcW w:w="4674" w:type="dxa"/>
            <w:vAlign w:val="center"/>
          </w:tcPr>
          <w:p w14:paraId="2919449D">
            <w:pPr>
              <w:pStyle w:val="11"/>
              <w:spacing w:before="91" w:line="216" w:lineRule="auto"/>
              <w:jc w:val="center"/>
              <w:rPr>
                <w:rFonts w:ascii="FangSong_GB2312" w:hAnsi="FangSong_GB2312" w:eastAsia="FangSong_GB2312" w:cs="FangSong_GB2312"/>
                <w:snapToGrid w:val="0"/>
                <w:color w:val="000000"/>
                <w:spacing w:val="-2"/>
                <w:kern w:val="0"/>
                <w:sz w:val="28"/>
                <w:szCs w:val="28"/>
                <w:lang w:val="en-US" w:eastAsia="en-US" w:bidi="ar-SA"/>
              </w:rPr>
            </w:pPr>
            <w:r>
              <w:rPr>
                <w:rFonts w:ascii="FangSong_GB2312" w:hAnsi="FangSong_GB2312" w:eastAsia="FangSong_GB2312" w:cs="FangSong_GB2312"/>
                <w:snapToGrid w:val="0"/>
                <w:color w:val="000000"/>
                <w:spacing w:val="-2"/>
                <w:kern w:val="0"/>
                <w:sz w:val="28"/>
                <w:szCs w:val="28"/>
                <w:lang w:val="en-US" w:eastAsia="en-US" w:bidi="ar-SA"/>
              </w:rPr>
              <w:t>作出深刻书面检查</w:t>
            </w:r>
          </w:p>
        </w:tc>
        <w:tc>
          <w:tcPr>
            <w:tcW w:w="4921" w:type="dxa"/>
            <w:vAlign w:val="center"/>
          </w:tcPr>
          <w:p w14:paraId="2AC19069">
            <w:pPr>
              <w:pStyle w:val="11"/>
              <w:spacing w:before="91" w:line="216" w:lineRule="auto"/>
              <w:ind w:left="120" w:leftChars="0"/>
              <w:jc w:val="center"/>
              <w:rPr>
                <w:rFonts w:hint="default" w:ascii="FangSong_GB2312" w:hAnsi="FangSong_GB2312" w:eastAsia="FangSong_GB2312" w:cs="FangSong_GB2312"/>
                <w:snapToGrid w:val="0"/>
                <w:color w:val="000000"/>
                <w:spacing w:val="-2"/>
                <w:kern w:val="0"/>
                <w:sz w:val="28"/>
                <w:szCs w:val="28"/>
                <w:lang w:val="en-US" w:eastAsia="zh-CN" w:bidi="ar-SA"/>
              </w:rPr>
            </w:pPr>
            <w:r>
              <w:rPr>
                <w:rFonts w:hint="eastAsia"/>
                <w:color w:val="auto"/>
                <w:spacing w:val="7"/>
                <w:sz w:val="32"/>
                <w:szCs w:val="32"/>
                <w:shd w:val="clear"/>
                <w:lang w:val="en-US" w:eastAsia="zh-CN"/>
              </w:rPr>
              <w:t>2024</w:t>
            </w:r>
            <w:r>
              <w:rPr>
                <w:rFonts w:hint="default"/>
                <w:color w:val="auto"/>
                <w:spacing w:val="7"/>
                <w:sz w:val="32"/>
                <w:szCs w:val="32"/>
                <w:shd w:val="clear"/>
                <w:lang w:val="en-US" w:eastAsia="zh-CN"/>
              </w:rPr>
              <w:t>年</w:t>
            </w:r>
            <w:r>
              <w:rPr>
                <w:rFonts w:hint="eastAsia"/>
                <w:color w:val="auto"/>
                <w:spacing w:val="7"/>
                <w:sz w:val="32"/>
                <w:szCs w:val="32"/>
                <w:shd w:val="clear"/>
                <w:lang w:val="en-US" w:eastAsia="zh-CN"/>
              </w:rPr>
              <w:t>12</w:t>
            </w:r>
            <w:r>
              <w:rPr>
                <w:rFonts w:hint="default"/>
                <w:color w:val="auto"/>
                <w:spacing w:val="7"/>
                <w:sz w:val="32"/>
                <w:szCs w:val="32"/>
                <w:shd w:val="clear"/>
                <w:lang w:val="en-US" w:eastAsia="zh-CN"/>
              </w:rPr>
              <w:t>月</w:t>
            </w:r>
            <w:r>
              <w:rPr>
                <w:rFonts w:hint="eastAsia"/>
                <w:color w:val="auto"/>
                <w:spacing w:val="7"/>
                <w:sz w:val="32"/>
                <w:szCs w:val="32"/>
                <w:shd w:val="clear"/>
                <w:lang w:val="en-US" w:eastAsia="zh-CN"/>
              </w:rPr>
              <w:t>16</w:t>
            </w:r>
            <w:r>
              <w:rPr>
                <w:rFonts w:hint="default"/>
                <w:color w:val="auto"/>
                <w:spacing w:val="7"/>
                <w:sz w:val="32"/>
                <w:szCs w:val="32"/>
                <w:shd w:val="clear"/>
                <w:lang w:val="en-US" w:eastAsia="zh-CN"/>
              </w:rPr>
              <w:t>日</w:t>
            </w:r>
            <w:r>
              <w:rPr>
                <w:rFonts w:hint="default" w:ascii="FangSong_GB2312" w:hAnsi="FangSong_GB2312" w:eastAsia="FangSong_GB2312" w:cs="FangSong_GB2312"/>
                <w:snapToGrid w:val="0"/>
                <w:color w:val="000000"/>
                <w:spacing w:val="-2"/>
                <w:kern w:val="0"/>
                <w:sz w:val="28"/>
                <w:szCs w:val="28"/>
                <w:shd w:val="clear"/>
                <w:lang w:val="en-US" w:eastAsia="en-US" w:bidi="ar-SA"/>
              </w:rPr>
              <w:t>，向瑶海区政府作出深刻书面检查。</w:t>
            </w:r>
          </w:p>
        </w:tc>
      </w:tr>
      <w:tr w14:paraId="1B0DC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5" w:hRule="atLeast"/>
        </w:trPr>
        <w:tc>
          <w:tcPr>
            <w:tcW w:w="841" w:type="dxa"/>
            <w:vAlign w:val="center"/>
          </w:tcPr>
          <w:p w14:paraId="2799214B">
            <w:pPr>
              <w:pStyle w:val="11"/>
              <w:spacing w:before="91" w:line="216" w:lineRule="auto"/>
              <w:ind w:left="120" w:leftChars="0"/>
              <w:jc w:val="center"/>
              <w:rPr>
                <w:rFonts w:hint="eastAsia" w:ascii="FangSong_GB2312" w:hAnsi="FangSong_GB2312" w:eastAsia="FangSong_GB2312" w:cs="FangSong_GB2312"/>
                <w:snapToGrid w:val="0"/>
                <w:color w:val="000000"/>
                <w:spacing w:val="-2"/>
                <w:kern w:val="0"/>
                <w:sz w:val="28"/>
                <w:szCs w:val="28"/>
                <w:lang w:val="en-US" w:eastAsia="zh-CN" w:bidi="ar-SA"/>
              </w:rPr>
            </w:pPr>
            <w:r>
              <w:rPr>
                <w:rFonts w:hint="eastAsia" w:ascii="FangSong_GB2312" w:hAnsi="FangSong_GB2312" w:eastAsia="FangSong_GB2312" w:cs="FangSong_GB2312"/>
                <w:snapToGrid w:val="0"/>
                <w:color w:val="000000"/>
                <w:spacing w:val="-2"/>
                <w:kern w:val="0"/>
                <w:sz w:val="28"/>
                <w:szCs w:val="28"/>
                <w:lang w:val="en-US" w:eastAsia="zh-CN" w:bidi="ar-SA"/>
              </w:rPr>
              <w:t>3</w:t>
            </w:r>
          </w:p>
        </w:tc>
        <w:tc>
          <w:tcPr>
            <w:tcW w:w="2692" w:type="dxa"/>
            <w:vAlign w:val="center"/>
          </w:tcPr>
          <w:p w14:paraId="6759012F">
            <w:pPr>
              <w:pStyle w:val="11"/>
              <w:spacing w:before="91" w:line="216" w:lineRule="auto"/>
              <w:ind w:left="120" w:leftChars="0"/>
              <w:jc w:val="center"/>
              <w:rPr>
                <w:rFonts w:hint="default" w:ascii="FangSong_GB2312" w:hAnsi="FangSong_GB2312" w:eastAsia="FangSong_GB2312" w:cs="FangSong_GB2312"/>
                <w:snapToGrid w:val="0"/>
                <w:color w:val="000000"/>
                <w:spacing w:val="-2"/>
                <w:kern w:val="0"/>
                <w:sz w:val="28"/>
                <w:szCs w:val="28"/>
                <w:lang w:val="en-US" w:eastAsia="en-US" w:bidi="ar-SA"/>
              </w:rPr>
            </w:pPr>
            <w:r>
              <w:rPr>
                <w:rFonts w:hint="eastAsia" w:ascii="FangSong_GB2312" w:hAnsi="FangSong_GB2312" w:eastAsia="FangSong_GB2312" w:cs="FangSong_GB2312"/>
                <w:snapToGrid w:val="0"/>
                <w:color w:val="000000"/>
                <w:spacing w:val="-2"/>
                <w:kern w:val="0"/>
                <w:sz w:val="28"/>
                <w:szCs w:val="28"/>
                <w:lang w:val="en-US" w:eastAsia="zh-CN" w:bidi="ar-SA"/>
              </w:rPr>
              <w:t>区住建局</w:t>
            </w:r>
          </w:p>
        </w:tc>
        <w:tc>
          <w:tcPr>
            <w:tcW w:w="4674" w:type="dxa"/>
            <w:vAlign w:val="center"/>
          </w:tcPr>
          <w:p w14:paraId="32510F40">
            <w:pPr>
              <w:pStyle w:val="11"/>
              <w:spacing w:before="91" w:line="216" w:lineRule="auto"/>
              <w:ind w:left="120" w:leftChars="0"/>
              <w:jc w:val="center"/>
              <w:rPr>
                <w:rFonts w:ascii="FangSong_GB2312" w:hAnsi="FangSong_GB2312" w:eastAsia="FangSong_GB2312" w:cs="FangSong_GB2312"/>
                <w:snapToGrid w:val="0"/>
                <w:color w:val="000000"/>
                <w:spacing w:val="-2"/>
                <w:kern w:val="0"/>
                <w:sz w:val="28"/>
                <w:szCs w:val="28"/>
                <w:lang w:val="en-US" w:eastAsia="en-US" w:bidi="ar-SA"/>
              </w:rPr>
            </w:pPr>
            <w:r>
              <w:rPr>
                <w:rFonts w:ascii="FangSong_GB2312" w:hAnsi="FangSong_GB2312" w:eastAsia="FangSong_GB2312" w:cs="FangSong_GB2312"/>
                <w:snapToGrid w:val="0"/>
                <w:color w:val="000000"/>
                <w:spacing w:val="-2"/>
                <w:kern w:val="0"/>
                <w:sz w:val="28"/>
                <w:szCs w:val="28"/>
                <w:lang w:val="en-US" w:eastAsia="en-US" w:bidi="ar-SA"/>
              </w:rPr>
              <w:t>作出深刻书面检查</w:t>
            </w:r>
          </w:p>
        </w:tc>
        <w:tc>
          <w:tcPr>
            <w:tcW w:w="4921" w:type="dxa"/>
            <w:vAlign w:val="center"/>
          </w:tcPr>
          <w:p w14:paraId="7C67B962">
            <w:pPr>
              <w:pStyle w:val="11"/>
              <w:spacing w:before="91" w:line="216" w:lineRule="auto"/>
              <w:ind w:left="120" w:leftChars="0"/>
              <w:jc w:val="center"/>
              <w:rPr>
                <w:rFonts w:ascii="FangSong_GB2312" w:hAnsi="FangSong_GB2312" w:eastAsia="FangSong_GB2312" w:cs="FangSong_GB2312"/>
                <w:snapToGrid w:val="0"/>
                <w:color w:val="000000"/>
                <w:spacing w:val="-2"/>
                <w:kern w:val="0"/>
                <w:sz w:val="28"/>
                <w:szCs w:val="28"/>
                <w:lang w:val="en-US" w:eastAsia="en-US" w:bidi="ar-SA"/>
              </w:rPr>
            </w:pPr>
            <w:r>
              <w:rPr>
                <w:rFonts w:hint="eastAsia" w:ascii="FangSong_GB2312" w:hAnsi="FangSong_GB2312" w:eastAsia="FangSong_GB2312" w:cs="FangSong_GB2312"/>
                <w:snapToGrid w:val="0"/>
                <w:color w:val="000000"/>
                <w:spacing w:val="-2"/>
                <w:kern w:val="0"/>
                <w:sz w:val="28"/>
                <w:szCs w:val="28"/>
                <w:lang w:val="en-US" w:eastAsia="en-US" w:bidi="ar-SA"/>
              </w:rPr>
              <w:t>2024</w:t>
            </w:r>
            <w:r>
              <w:rPr>
                <w:rFonts w:hint="default" w:ascii="FangSong_GB2312" w:hAnsi="FangSong_GB2312" w:eastAsia="FangSong_GB2312" w:cs="FangSong_GB2312"/>
                <w:snapToGrid w:val="0"/>
                <w:color w:val="000000"/>
                <w:spacing w:val="-2"/>
                <w:kern w:val="0"/>
                <w:sz w:val="28"/>
                <w:szCs w:val="28"/>
                <w:lang w:val="en-US" w:eastAsia="en-US" w:bidi="ar-SA"/>
              </w:rPr>
              <w:t>年</w:t>
            </w:r>
            <w:r>
              <w:rPr>
                <w:rFonts w:hint="eastAsia" w:ascii="FangSong_GB2312" w:hAnsi="FangSong_GB2312" w:eastAsia="FangSong_GB2312" w:cs="FangSong_GB2312"/>
                <w:snapToGrid w:val="0"/>
                <w:color w:val="000000"/>
                <w:spacing w:val="-2"/>
                <w:kern w:val="0"/>
                <w:sz w:val="28"/>
                <w:szCs w:val="28"/>
                <w:lang w:val="en-US" w:eastAsia="en-US" w:bidi="ar-SA"/>
              </w:rPr>
              <w:t>12</w:t>
            </w:r>
            <w:r>
              <w:rPr>
                <w:rFonts w:hint="default" w:ascii="FangSong_GB2312" w:hAnsi="FangSong_GB2312" w:eastAsia="FangSong_GB2312" w:cs="FangSong_GB2312"/>
                <w:snapToGrid w:val="0"/>
                <w:color w:val="000000"/>
                <w:spacing w:val="-2"/>
                <w:kern w:val="0"/>
                <w:sz w:val="28"/>
                <w:szCs w:val="28"/>
                <w:lang w:val="en-US" w:eastAsia="en-US" w:bidi="ar-SA"/>
              </w:rPr>
              <w:t>月</w:t>
            </w:r>
            <w:r>
              <w:rPr>
                <w:rFonts w:hint="eastAsia" w:cs="FangSong_GB2312"/>
                <w:snapToGrid w:val="0"/>
                <w:color w:val="000000"/>
                <w:spacing w:val="-2"/>
                <w:kern w:val="0"/>
                <w:sz w:val="28"/>
                <w:szCs w:val="28"/>
                <w:lang w:val="en-US" w:eastAsia="zh-CN" w:bidi="ar-SA"/>
              </w:rPr>
              <w:t>9</w:t>
            </w:r>
            <w:r>
              <w:rPr>
                <w:rFonts w:hint="default" w:ascii="FangSong_GB2312" w:hAnsi="FangSong_GB2312" w:eastAsia="FangSong_GB2312" w:cs="FangSong_GB2312"/>
                <w:snapToGrid w:val="0"/>
                <w:color w:val="000000"/>
                <w:spacing w:val="-2"/>
                <w:kern w:val="0"/>
                <w:sz w:val="28"/>
                <w:szCs w:val="28"/>
                <w:lang w:val="en-US" w:eastAsia="en-US" w:bidi="ar-SA"/>
              </w:rPr>
              <w:t>日，向瑶海区政府作出深刻书面检查。</w:t>
            </w:r>
          </w:p>
        </w:tc>
      </w:tr>
    </w:tbl>
    <w:p w14:paraId="1E92CB8D">
      <w:pPr>
        <w:rPr>
          <w:rFonts w:ascii="Arial"/>
          <w:sz w:val="21"/>
        </w:rPr>
      </w:pPr>
      <w:bookmarkStart w:id="5" w:name="_GoBack"/>
      <w:bookmarkEnd w:id="5"/>
    </w:p>
    <w:sectPr>
      <w:headerReference r:id="rId6" w:type="default"/>
      <w:footerReference r:id="rId7" w:type="default"/>
      <w:pgSz w:w="16839" w:h="11906"/>
      <w:pgMar w:top="400" w:right="1852" w:bottom="1158" w:left="1468" w:header="0" w:footer="789"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F74BC9B-9067-415B-ACD0-5A15E5CDA624}"/>
  </w:font>
  <w:font w:name="黑体">
    <w:panose1 w:val="02010609060101010101"/>
    <w:charset w:val="86"/>
    <w:family w:val="auto"/>
    <w:pitch w:val="default"/>
    <w:sig w:usb0="800002BF" w:usb1="38CF7CFA" w:usb2="00000016" w:usb3="00000000" w:csb0="00040001" w:csb1="00000000"/>
    <w:embedRegular r:id="rId2" w:fontKey="{47D2E700-EFDF-411C-9EAF-B1B1F9BE92B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30101010101"/>
    <w:charset w:val="86"/>
    <w:family w:val="auto"/>
    <w:pitch w:val="default"/>
    <w:sig w:usb0="00000000" w:usb1="00000000" w:usb2="00000000" w:usb3="00000000" w:csb0="00040000" w:csb1="00000000"/>
    <w:embedRegular r:id="rId3" w:fontKey="{4D16CCC9-8955-48E9-9FD6-62CEE1539B8B}"/>
  </w:font>
  <w:font w:name="仿宋_GB2312">
    <w:altName w:val="仿宋"/>
    <w:panose1 w:val="02010609030101010101"/>
    <w:charset w:val="86"/>
    <w:family w:val="auto"/>
    <w:pitch w:val="default"/>
    <w:sig w:usb0="00000000" w:usb1="00000000" w:usb2="00000000" w:usb3="00000000" w:csb0="00040000" w:csb1="00000000"/>
    <w:embedRegular r:id="rId4" w:fontKey="{62FCE92E-1ECE-4206-8F2E-5D809ED83E37}"/>
  </w:font>
  <w:font w:name="Arial Black">
    <w:panose1 w:val="020B0A04020102020204"/>
    <w:charset w:val="00"/>
    <w:family w:val="swiss"/>
    <w:pitch w:val="default"/>
    <w:sig w:usb0="00000287" w:usb1="00000000" w:usb2="00000000" w:usb3="00000000" w:csb0="2000009F" w:csb1="DFD70000"/>
  </w:font>
  <w:font w:name="方正小标宋简体">
    <w:panose1 w:val="02000000000000000000"/>
    <w:charset w:val="86"/>
    <w:family w:val="auto"/>
    <w:pitch w:val="default"/>
    <w:sig w:usb0="00000001" w:usb1="08000000" w:usb2="00000000" w:usb3="00000000" w:csb0="00040000" w:csb1="00000000"/>
    <w:embedRegular r:id="rId5" w:fontKey="{F8EC39EA-69D6-4C05-98BD-2895C2E8E717}"/>
  </w:font>
  <w:font w:name="楷体_GB2312">
    <w:altName w:val="楷体"/>
    <w:panose1 w:val="02010609030101010101"/>
    <w:charset w:val="86"/>
    <w:family w:val="auto"/>
    <w:pitch w:val="default"/>
    <w:sig w:usb0="00000000" w:usb1="00000000" w:usb2="00000000" w:usb3="00000000" w:csb0="00040000" w:csb1="00000000"/>
    <w:embedRegular r:id="rId6" w:fontKey="{CA0D09CF-9A33-4E4A-BB08-823A0BE46822}"/>
  </w:font>
  <w:font w:name="KaiTi_GB2312">
    <w:altName w:val="楷体"/>
    <w:panose1 w:val="02010609030101010101"/>
    <w:charset w:val="86"/>
    <w:family w:val="auto"/>
    <w:pitch w:val="default"/>
    <w:sig w:usb0="00000000" w:usb1="00000000" w:usb2="00000000" w:usb3="00000000" w:csb0="00040000" w:csb1="00000000"/>
    <w:embedRegular r:id="rId7" w:fontKey="{AC3BB09B-68FC-40F4-971A-595337C77639}"/>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03B8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FD68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51FD68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3FBE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FC88E">
                          <w:pPr>
                            <w:pStyle w:val="4"/>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18FC88E">
                    <w:pPr>
                      <w:pStyle w:val="4"/>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3EAEA">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D9637F"/>
    <w:rsid w:val="00E43BA2"/>
    <w:rsid w:val="014F6641"/>
    <w:rsid w:val="0171056A"/>
    <w:rsid w:val="023F7935"/>
    <w:rsid w:val="03864812"/>
    <w:rsid w:val="03E56DE9"/>
    <w:rsid w:val="04E43544"/>
    <w:rsid w:val="066466EB"/>
    <w:rsid w:val="07132099"/>
    <w:rsid w:val="07DC193F"/>
    <w:rsid w:val="0B3A5C6C"/>
    <w:rsid w:val="0B816C1D"/>
    <w:rsid w:val="0BBA20CB"/>
    <w:rsid w:val="0C605BA6"/>
    <w:rsid w:val="0DEA59A1"/>
    <w:rsid w:val="105477D0"/>
    <w:rsid w:val="10901D27"/>
    <w:rsid w:val="110B3DB1"/>
    <w:rsid w:val="118F1759"/>
    <w:rsid w:val="13751E98"/>
    <w:rsid w:val="137A3EB9"/>
    <w:rsid w:val="147F686F"/>
    <w:rsid w:val="17C27715"/>
    <w:rsid w:val="17F83137"/>
    <w:rsid w:val="185C1667"/>
    <w:rsid w:val="192A5572"/>
    <w:rsid w:val="19632832"/>
    <w:rsid w:val="19924070"/>
    <w:rsid w:val="19CB3F91"/>
    <w:rsid w:val="1A815A63"/>
    <w:rsid w:val="1BE87D11"/>
    <w:rsid w:val="1C54409A"/>
    <w:rsid w:val="1C88053B"/>
    <w:rsid w:val="1D2B7B0B"/>
    <w:rsid w:val="1DE34C93"/>
    <w:rsid w:val="1FD20711"/>
    <w:rsid w:val="20560211"/>
    <w:rsid w:val="20EA3839"/>
    <w:rsid w:val="214271D1"/>
    <w:rsid w:val="21974CC7"/>
    <w:rsid w:val="219A525F"/>
    <w:rsid w:val="22533FDD"/>
    <w:rsid w:val="22723AE6"/>
    <w:rsid w:val="23804408"/>
    <w:rsid w:val="23BB45FE"/>
    <w:rsid w:val="27906EE8"/>
    <w:rsid w:val="28212236"/>
    <w:rsid w:val="29064F88"/>
    <w:rsid w:val="2A5A30EF"/>
    <w:rsid w:val="2A720E15"/>
    <w:rsid w:val="2AF721FD"/>
    <w:rsid w:val="2B1B20A5"/>
    <w:rsid w:val="2BF0173C"/>
    <w:rsid w:val="2C2C3A4C"/>
    <w:rsid w:val="2C5404D6"/>
    <w:rsid w:val="2EA823CA"/>
    <w:rsid w:val="2EBD72F5"/>
    <w:rsid w:val="2EFE112F"/>
    <w:rsid w:val="2F3D7179"/>
    <w:rsid w:val="3067180F"/>
    <w:rsid w:val="30BD5CD5"/>
    <w:rsid w:val="313034EA"/>
    <w:rsid w:val="31361117"/>
    <w:rsid w:val="316A07AA"/>
    <w:rsid w:val="32A72C64"/>
    <w:rsid w:val="337C39DB"/>
    <w:rsid w:val="339C2174"/>
    <w:rsid w:val="33FF48DB"/>
    <w:rsid w:val="34086058"/>
    <w:rsid w:val="354E48DE"/>
    <w:rsid w:val="3733163E"/>
    <w:rsid w:val="382C43AB"/>
    <w:rsid w:val="39574BC0"/>
    <w:rsid w:val="3A127C30"/>
    <w:rsid w:val="3B247C1B"/>
    <w:rsid w:val="3B395484"/>
    <w:rsid w:val="3C2F6110"/>
    <w:rsid w:val="3C683C77"/>
    <w:rsid w:val="3DD166C8"/>
    <w:rsid w:val="3E6D0C50"/>
    <w:rsid w:val="3E92628C"/>
    <w:rsid w:val="3FD55BE3"/>
    <w:rsid w:val="402043E9"/>
    <w:rsid w:val="40675477"/>
    <w:rsid w:val="40794D65"/>
    <w:rsid w:val="417938C5"/>
    <w:rsid w:val="419A0EE9"/>
    <w:rsid w:val="41DD72D9"/>
    <w:rsid w:val="42027AB1"/>
    <w:rsid w:val="42247D6D"/>
    <w:rsid w:val="43615785"/>
    <w:rsid w:val="43B35FE0"/>
    <w:rsid w:val="45B2225E"/>
    <w:rsid w:val="460A7401"/>
    <w:rsid w:val="46DE1703"/>
    <w:rsid w:val="46E91D19"/>
    <w:rsid w:val="474A6C5C"/>
    <w:rsid w:val="47E524E0"/>
    <w:rsid w:val="482E032B"/>
    <w:rsid w:val="487404EE"/>
    <w:rsid w:val="48C06AA9"/>
    <w:rsid w:val="48EC5AF0"/>
    <w:rsid w:val="493C0CBD"/>
    <w:rsid w:val="4A080708"/>
    <w:rsid w:val="4AA5332D"/>
    <w:rsid w:val="4B6202EC"/>
    <w:rsid w:val="4CFF51D5"/>
    <w:rsid w:val="4D7E765F"/>
    <w:rsid w:val="4D9724CF"/>
    <w:rsid w:val="4DE46A01"/>
    <w:rsid w:val="4F1931A5"/>
    <w:rsid w:val="4F57197A"/>
    <w:rsid w:val="50125E3D"/>
    <w:rsid w:val="50F639B0"/>
    <w:rsid w:val="5180629F"/>
    <w:rsid w:val="52052758"/>
    <w:rsid w:val="52762A77"/>
    <w:rsid w:val="536F3DE2"/>
    <w:rsid w:val="541B3C32"/>
    <w:rsid w:val="545F7ABE"/>
    <w:rsid w:val="54CC5154"/>
    <w:rsid w:val="54EB4EAE"/>
    <w:rsid w:val="54F15B76"/>
    <w:rsid w:val="552D5B73"/>
    <w:rsid w:val="56A30136"/>
    <w:rsid w:val="59594ADC"/>
    <w:rsid w:val="5A0D37E5"/>
    <w:rsid w:val="5B127349"/>
    <w:rsid w:val="5B6836FC"/>
    <w:rsid w:val="5F4365D5"/>
    <w:rsid w:val="61906F33"/>
    <w:rsid w:val="648D5F82"/>
    <w:rsid w:val="66495ED8"/>
    <w:rsid w:val="67BD092C"/>
    <w:rsid w:val="681A3612"/>
    <w:rsid w:val="69673DB9"/>
    <w:rsid w:val="699833FF"/>
    <w:rsid w:val="6A0942FC"/>
    <w:rsid w:val="6AED37F7"/>
    <w:rsid w:val="6CA74105"/>
    <w:rsid w:val="6D9E7C95"/>
    <w:rsid w:val="6DC748C4"/>
    <w:rsid w:val="6DF00670"/>
    <w:rsid w:val="6DF835FD"/>
    <w:rsid w:val="6E522ADB"/>
    <w:rsid w:val="6E646C78"/>
    <w:rsid w:val="6EBC7B8F"/>
    <w:rsid w:val="6FE4758B"/>
    <w:rsid w:val="71B8286E"/>
    <w:rsid w:val="71D37DBD"/>
    <w:rsid w:val="72181581"/>
    <w:rsid w:val="725D51E5"/>
    <w:rsid w:val="735E7031"/>
    <w:rsid w:val="77C17FC5"/>
    <w:rsid w:val="780F1455"/>
    <w:rsid w:val="78295EBD"/>
    <w:rsid w:val="782A6E2F"/>
    <w:rsid w:val="78E026CC"/>
    <w:rsid w:val="793B39FE"/>
    <w:rsid w:val="7A9972C7"/>
    <w:rsid w:val="7BEF1922"/>
    <w:rsid w:val="7C1B2F62"/>
    <w:rsid w:val="7CDE1A48"/>
    <w:rsid w:val="7D7004C3"/>
    <w:rsid w:val="7DB452FD"/>
    <w:rsid w:val="7E0E3838"/>
    <w:rsid w:val="7E2A4F6A"/>
    <w:rsid w:val="7E442357"/>
    <w:rsid w:val="7F1466C2"/>
    <w:rsid w:val="7F7603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Body Text Indent 2"/>
    <w:basedOn w:val="1"/>
    <w:qFormat/>
    <w:uiPriority w:val="99"/>
    <w:pPr>
      <w:spacing w:line="590" w:lineRule="exact"/>
      <w:ind w:firstLine="880" w:firstLineChars="200"/>
    </w:pPr>
    <w:rPr>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表格文字"/>
    <w:basedOn w:val="1"/>
    <w:qFormat/>
    <w:uiPriority w:val="0"/>
    <w:pPr>
      <w:spacing w:line="360" w:lineRule="auto"/>
      <w:jc w:val="center"/>
    </w:pPr>
    <w:rPr>
      <w:rFonts w:ascii="仿宋_GB2312" w:hAnsi="Arial Black" w:eastAsia="宋体" w:cs="Times New Roman"/>
      <w:kern w:val="44"/>
      <w:sz w:val="24"/>
      <w:szCs w:val="20"/>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FangSong_GB2312" w:hAnsi="FangSong_GB2312" w:eastAsia="FangSong_GB2312" w:cs="FangSong_GB2312"/>
      <w:sz w:val="30"/>
      <w:szCs w:val="30"/>
      <w:lang w:val="en-US" w:eastAsia="en-US" w:bidi="ar-SA"/>
    </w:rPr>
  </w:style>
  <w:style w:type="paragraph" w:customStyle="1" w:styleId="12">
    <w:name w:val="Normal Indent1"/>
    <w:basedOn w:val="1"/>
    <w:qFormat/>
    <w:uiPriority w:val="0"/>
    <w:pPr>
      <w:ind w:firstLine="420" w:firstLineChars="200"/>
    </w:pPr>
    <w:rPr>
      <w:rFonts w:ascii="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2189</Words>
  <Characters>2249</Characters>
  <TotalTime>3</TotalTime>
  <ScaleCrop>false</ScaleCrop>
  <LinksUpToDate>false</LinksUpToDate>
  <CharactersWithSpaces>2268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2025-04-11T16:17:00Z</dcterms:created>
  <dc:creator>wang</dc:creator>
  <cp:lastModifiedBy>WPS_1641996543</cp:lastModifiedBy>
  <dcterms:modified xsi:type="dcterms:W3CDTF">2025-10-20T00:37:34Z</dcterms:modified>
  <dc:title>  合安﹝2015﹞7号                       签发人：王 翔</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2025-10-15T10:30:08Z</vt:filetime>
  </property>
  <property fmtid="{D5CDD505-2E9C-101B-9397-08002B2CF9AE}" pid="4" name="KSOTemplateDocerSaveRecord">
    <vt:lpwstr>eyJoZGlkIjoiOGU2ZDZlNWI1YzExMzJjNGNkNzYzMTQ2NDNkZDgyYTciLCJ1c2VySWQiOiIxMzEzODk4NDg0In0=</vt:lpwstr>
  </property>
  <property fmtid="{D5CDD505-2E9C-101B-9397-08002B2CF9AE}" pid="5" name="KSOProductBuildVer">
    <vt:lpwstr>2052-12.1.0.22529</vt:lpwstr>
  </property>
  <property fmtid="{D5CDD505-2E9C-101B-9397-08002B2CF9AE}" pid="6" name="ICV">
    <vt:lpwstr>8C55D3D5B1B44F238596845C1AE640C4_12</vt:lpwstr>
  </property>
</Properties>
</file>