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E166A">
      <w:pPr>
        <w:ind w:firstLine="643" w:firstLineChars="200"/>
        <w:rPr>
          <w:rFonts w:ascii="仿宋" w:hAnsi="仿宋" w:eastAsia="仿宋" w:cs="仿宋"/>
          <w:b/>
          <w:bCs/>
          <w:i w:val="0"/>
          <w:iCs w:val="0"/>
          <w:caps w:val="0"/>
          <w:color w:val="484848"/>
          <w:spacing w:val="0"/>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《医疗机构管理条例》</w:t>
      </w:r>
    </w:p>
    <w:p w14:paraId="24AC4AF6">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第二十条　医疗机构歇业，必须向原登记机关办理注销登记或者向原备案机关备案。经登记机关核准后，收缴《医疗机构执业许可证》。</w:t>
      </w:r>
      <w:r>
        <w:rPr>
          <w:rFonts w:hint="eastAsia" w:ascii="Times New Roman" w:hAnsi="Times New Roman" w:eastAsia="仿宋_GB2312" w:cs="Times New Roman"/>
          <w:sz w:val="32"/>
          <w:szCs w:val="32"/>
          <w:lang w:val="en-US" w:eastAsia="zh-CN"/>
        </w:rPr>
        <w:t>医疗机构非因改建、扩建、迁建原因停业超过1年的，视为歇业。</w:t>
      </w:r>
    </w:p>
    <w:p w14:paraId="5C2F34E3">
      <w:pPr>
        <w:numPr>
          <w:ilvl w:val="0"/>
          <w:numId w:val="0"/>
        </w:numPr>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sz w:val="32"/>
          <w:szCs w:val="32"/>
          <w:lang w:val="en-US" w:eastAsia="zh-CN"/>
        </w:rPr>
        <w:t>《医疗机构管理条例实施细则》第三十四条、第三十九条</w:t>
      </w:r>
    </w:p>
    <w:p w14:paraId="4C297D32">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第三十四条  医疗机构停业，必须经登记机关批准。除改建、扩建、迁建原因，医疗机构停业不得超过一年。</w:t>
      </w:r>
    </w:p>
    <w:p w14:paraId="73D70442">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第三十九条  医疗机构开业、迁移、更名、改变诊疗科目以及停业、歇业和校验结果由登记机关予以公告。</w:t>
      </w:r>
    </w:p>
    <w:p w14:paraId="40AE3B49">
      <w:pPr>
        <w:numPr>
          <w:numId w:val="0"/>
        </w:numPr>
        <w:ind w:firstLine="643"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诊所备案管理暂行办法》第十条、第十九条</w:t>
      </w:r>
    </w:p>
    <w:p w14:paraId="48670B4A">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 诊所歇业，必须向原备案机关备案。诊所非因改建、扩建、迁建原因停业超过1年的，视为歇业。</w:t>
      </w:r>
    </w:p>
    <w:p w14:paraId="5E36D13B">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第十九条 有下列情形之一的，诊所应当向所在县级人民政府卫生健康行政部门或中医药主管部门报告，或者卫生健康行政部门和中医药主管部门在监督管理过程中发现有下列情形之一的，原备案机关应当撤销其备案并及时向社会公告：</w:t>
      </w:r>
    </w:p>
    <w:p w14:paraId="21484819">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（一）诊所歇业的；</w:t>
      </w:r>
    </w:p>
    <w:p w14:paraId="0A544D4C">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（二）诊所自愿终止执业活动的；</w:t>
      </w:r>
    </w:p>
    <w:p w14:paraId="40925FEC">
      <w:pPr>
        <w:numPr>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（三）使用虚假材料备案的；</w:t>
      </w:r>
    </w:p>
    <w:p w14:paraId="47C87578">
      <w:pPr>
        <w:numPr>
          <w:numId w:val="0"/>
        </w:numPr>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（4） </w:t>
      </w:r>
      <w:r>
        <w:rPr>
          <w:rFonts w:hint="default" w:ascii="Times New Roman" w:hAnsi="Times New Roman" w:eastAsia="仿宋_GB2312" w:cs="Times New Roman"/>
          <w:b/>
          <w:bCs/>
          <w:sz w:val="32"/>
          <w:szCs w:val="32"/>
          <w:lang w:val="en-US" w:eastAsia="zh-CN"/>
        </w:rPr>
        <w:t>《中华人民共和国行政许可法》第七十条第（一）项规定</w:t>
      </w:r>
    </w:p>
    <w:p w14:paraId="42585A0B">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第七十条　有下列</w:t>
      </w:r>
      <w:bookmarkStart w:id="0" w:name="_GoBack"/>
      <w:bookmarkEnd w:id="0"/>
      <w:r>
        <w:rPr>
          <w:rFonts w:hint="eastAsia" w:ascii="Times New Roman" w:hAnsi="Times New Roman" w:eastAsia="仿宋_GB2312" w:cs="Times New Roman"/>
          <w:sz w:val="32"/>
          <w:szCs w:val="32"/>
          <w:lang w:val="en-US" w:eastAsia="zh-CN"/>
        </w:rPr>
        <w:t>情形之一的，行政机关应当依法办理有关行政许可的注销手续：</w:t>
      </w:r>
    </w:p>
    <w:p w14:paraId="0482475A">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    （一）行政许可有效期届满未延续的；</w:t>
      </w:r>
    </w:p>
    <w:p w14:paraId="63838982">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    （二）赋予公民特定资格的行政许可，该公民死亡或者丧失行为能力的；</w:t>
      </w:r>
    </w:p>
    <w:p w14:paraId="106B8FC1">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    （三）法人或者其他组织依法终止的；</w:t>
      </w:r>
    </w:p>
    <w:p w14:paraId="53A4E220">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    （四）行政许可依法被撤销、撤回，或者行政许可证件依法被吊销的；</w:t>
      </w:r>
    </w:p>
    <w:p w14:paraId="3771C6A4">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    （五）因不可抗力导致行政许可事项无法实施的；</w:t>
      </w:r>
    </w:p>
    <w:p w14:paraId="205736BC">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    （六）法律、法规规定的应当注销行政许可的其他情形。</w:t>
      </w:r>
    </w:p>
    <w:p w14:paraId="5F3BD344">
      <w:pPr>
        <w:numPr>
          <w:numId w:val="0"/>
        </w:numPr>
        <w:ind w:firstLine="640" w:firstLineChars="200"/>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0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2025-10-30T06:35:50Z</dcterms:created>
  <dc:creator>admin</dc:creator>
  <cp:lastModifiedBy>Casson</cp:lastModifiedBy>
  <dcterms:modified xsi:type="dcterms:W3CDTF">2025-10-30T06:40:58Z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eyJoZGlkIjoiMGMwZmFhMTRmN2NjMzAyMzU2NTA5OTllMGY2Njc0ODYiLCJ1c2VySWQiOiIyMzAwNTMyNTYifQ==</vt:lpwstr>
  </property>
  <property fmtid="{D5CDD505-2E9C-101B-9397-08002B2CF9AE}" pid="4" name="ICV">
    <vt:lpwstr>3B5FFDDD8AFB49C286C3C4782D17FD4D_12</vt:lpwstr>
  </property>
</Properties>
</file>