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32"/>
        </w:rPr>
      </w:pPr>
      <w:r>
        <w:rPr>
          <w:rFonts w:ascii="Times New Roman" w:hAnsi="Times New Roman" w:eastAsia="方正小标宋简体"/>
          <w:bCs/>
          <w:sz w:val="32"/>
        </w:rPr>
        <w:t>（参考格式）</w:t>
      </w:r>
    </w:p>
    <w:p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spacing w:before="156" w:beforeLines="50" w:after="156" w:afterLines="50"/>
        <w:ind w:left="3807" w:leftChars="289" w:hanging="3200" w:hangingChars="10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hint="eastAsia" w:ascii="楷体" w:hAnsi="楷体" w:eastAsia="楷体" w:cs="楷体"/>
          <w:sz w:val="32"/>
          <w:szCs w:val="32"/>
          <w:u w:val="single"/>
          <w:lang w:eastAsia="zh-CN"/>
        </w:rPr>
        <w:t>淮南路项目胜利路街道辖区内第一批征迁安置补偿</w:t>
      </w:r>
      <w:r>
        <w:rPr>
          <w:rFonts w:hint="eastAsia" w:ascii="楷体" w:hAnsi="楷体" w:eastAsia="楷体" w:cs="楷体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楷体_GB2312"/>
          <w:sz w:val="32"/>
          <w:szCs w:val="32"/>
          <w:u w:val="single"/>
        </w:rPr>
        <w:t xml:space="preserve">          </w:t>
      </w:r>
      <w:r>
        <w:rPr>
          <w:rFonts w:ascii="Times New Roman" w:hAnsi="Times New Roman" w:eastAsia="楷体_GB2312"/>
          <w:sz w:val="32"/>
          <w:u w:val="single"/>
        </w:rPr>
        <w:t xml:space="preserve">        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合肥市瑶海区胜利路街道办事处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>
      <w:pPr>
        <w:spacing w:line="600" w:lineRule="exact"/>
        <w:jc w:val="center"/>
        <w:rPr>
          <w:rFonts w:hint="eastAsia" w:ascii="宋体" w:hAnsi="宋体" w:eastAsia="宋体" w:cs="宋体"/>
          <w:bCs/>
          <w:sz w:val="44"/>
          <w:szCs w:val="44"/>
          <w:lang w:eastAsia="zh-CN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宋体" w:hAnsi="宋体" w:eastAsia="宋体" w:cs="宋体"/>
          <w:bCs/>
          <w:sz w:val="44"/>
          <w:szCs w:val="44"/>
          <w:lang w:eastAsia="zh-CN"/>
        </w:rPr>
        <w:t>淮南路项目胜利路街道辖区内第一批征迁安置补偿项目</w:t>
      </w:r>
    </w:p>
    <w:p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淮南路道路建设为市级大建设重点项目，该项目是2023年合肥市60个“拔钉清零”项目之一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该项目涉及到胜利路街道内濉溪东路社区及戴安桥社区，共50户征迁任务，全部使用货币化安置。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目资金总量：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521.71万元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为合肥市大建设专项资金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属于</w:t>
      </w:r>
      <w:r>
        <w:rPr>
          <w:rFonts w:ascii="Times New Roman" w:hAnsi="Times New Roman" w:eastAsia="仿宋_GB2312"/>
          <w:color w:val="000000"/>
          <w:sz w:val="32"/>
          <w:szCs w:val="32"/>
        </w:rPr>
        <w:t>政府性投资公益性项目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实施周期为一年。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>
      <w:pPr>
        <w:spacing w:line="600" w:lineRule="exact"/>
        <w:ind w:firstLine="646" w:firstLineChars="202"/>
        <w:rPr>
          <w:rFonts w:ascii="Times New Roman" w:hAnsi="Times New Roman" w:eastAsia="仿宋_GB2312" w:cs="Times New Roman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</w:rPr>
        <w:t>本年度该项目</w:t>
      </w: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lang w:val="en-US" w:eastAsia="zh-CN"/>
        </w:rPr>
        <w:t>未</w:t>
      </w: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</w:rPr>
        <w:t>完成，</w:t>
      </w: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lang w:val="en-US" w:eastAsia="zh-CN"/>
        </w:rPr>
        <w:t>年初预算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521.71</w:t>
      </w: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lang w:val="en-US" w:eastAsia="zh-CN"/>
        </w:rPr>
        <w:t>万元，全年执行数为53.05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val="en-US" w:eastAsia="zh-CN"/>
        </w:rPr>
        <w:t>万元，执行率为10.17%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</w:rPr>
        <w:t>。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ascii="Times New Roman" w:eastAsia="仿宋_GB2312"/>
          <w:color w:val="000000"/>
          <w:sz w:val="32"/>
          <w:szCs w:val="32"/>
        </w:rPr>
        <w:t>.项目年度总体目标</w:t>
      </w:r>
    </w:p>
    <w:p>
      <w:pPr>
        <w:spacing w:line="60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eastAsia="仿宋_GB2312"/>
          <w:color w:val="000000"/>
          <w:sz w:val="32"/>
          <w:szCs w:val="32"/>
        </w:rPr>
        <w:t>用于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胜利路街道辖区内淮南路</w:t>
      </w:r>
      <w:r>
        <w:rPr>
          <w:rFonts w:hint="eastAsia" w:ascii="Times New Roman" w:eastAsia="仿宋_GB2312"/>
          <w:color w:val="000000"/>
          <w:sz w:val="32"/>
          <w:szCs w:val="32"/>
        </w:rPr>
        <w:t>项目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被征迁户的第一批征迁补偿款发放，2024年目标完成淮南路项目50户征迁任务，助推淮南路大建设项目顺利进行。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ascii="Times New Roman" w:eastAsia="仿宋_GB2312"/>
          <w:color w:val="000000"/>
          <w:sz w:val="32"/>
          <w:szCs w:val="32"/>
        </w:rPr>
        <w:t>.总体目标完成情况</w:t>
      </w:r>
    </w:p>
    <w:p>
      <w:pPr>
        <w:spacing w:line="600" w:lineRule="exact"/>
        <w:ind w:firstLine="640" w:firstLineChars="200"/>
        <w:rPr>
          <w:rFonts w:hint="default" w:asci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lang w:val="en-US" w:eastAsia="zh-CN"/>
        </w:rPr>
        <w:t>2024年度完成项目的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val="en-US" w:eastAsia="zh-CN"/>
        </w:rPr>
        <w:t>10.17%</w:t>
      </w:r>
      <w:r>
        <w:rPr>
          <w:rFonts w:hint="eastAsia" w:ascii="Times New Roman" w:eastAsia="仿宋_GB2312"/>
          <w:color w:val="000000"/>
          <w:sz w:val="32"/>
          <w:szCs w:val="32"/>
        </w:rPr>
        <w:t>。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主要原因是：</w:t>
      </w: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lang w:val="en-US" w:eastAsia="zh-CN"/>
        </w:rPr>
        <w:t>因征迁范围内大部分产权为上海铁路局，涉及居民产权下划，程序多，手续复杂，故征迁进度较慢。</w:t>
      </w:r>
    </w:p>
    <w:p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>
      <w:pPr>
        <w:spacing w:line="600" w:lineRule="exact"/>
        <w:ind w:firstLine="646" w:firstLineChars="202"/>
        <w:rPr>
          <w:rFonts w:hint="default" w:ascii="Times New Roman" w:hAnsi="Times New Roman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淮南路项目胜利路街道辖区内第一批征迁安置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通过申请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政府性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基金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521.71</w:t>
      </w: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  <w:lang w:val="en-US" w:eastAsia="zh-CN"/>
        </w:rPr>
        <w:t>2024年度实际发放征迁补偿款53.05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val="en-US" w:eastAsia="zh-CN"/>
        </w:rPr>
        <w:t>万元，占总金额10.17%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val="en-US" w:eastAsia="zh-CN"/>
        </w:rPr>
        <w:t>未</w:t>
      </w:r>
      <w:r>
        <w:rPr>
          <w:rFonts w:ascii="Times New Roman" w:hAnsi="Times New Roman" w:eastAsia="仿宋_GB2312"/>
          <w:color w:val="000000"/>
          <w:sz w:val="32"/>
          <w:szCs w:val="32"/>
        </w:rPr>
        <w:t>完成年度设定的绩效目标，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未</w:t>
      </w:r>
      <w:r>
        <w:rPr>
          <w:rFonts w:ascii="Times New Roman" w:hAnsi="Times New Roman" w:eastAsia="仿宋_GB2312"/>
          <w:color w:val="000000"/>
          <w:sz w:val="32"/>
          <w:szCs w:val="32"/>
        </w:rPr>
        <w:t>达到项目预期效果。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>
      <w:pPr>
        <w:spacing w:line="600" w:lineRule="exact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经评价，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淮南路项目胜利路街道辖区内第一批征迁安置补偿项目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综合得分为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84.22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分，评价结果为“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良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”。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auto"/>
          <w:sz w:val="32"/>
          <w:szCs w:val="32"/>
        </w:rPr>
      </w:pPr>
      <w:r>
        <w:rPr>
          <w:rFonts w:ascii="Times New Roman" w:hAnsi="Times New Roman" w:eastAsia="黑体"/>
          <w:color w:val="auto"/>
          <w:sz w:val="32"/>
          <w:szCs w:val="32"/>
        </w:rPr>
        <w:t>三、指标分析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2024年淮南路项目胜利路街道辖区内第一批征迁安置补偿</w:t>
      </w:r>
      <w:r>
        <w:rPr>
          <w:rFonts w:ascii="Times New Roman" w:hAnsi="Times New Roman" w:eastAsia="仿宋_GB2312"/>
          <w:color w:val="auto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评价</w:t>
      </w:r>
      <w:r>
        <w:rPr>
          <w:rFonts w:ascii="Times New Roman" w:hAnsi="Times New Roman" w:eastAsia="仿宋_GB2312"/>
          <w:color w:val="auto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auto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auto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auto"/>
          <w:sz w:val="32"/>
          <w:szCs w:val="32"/>
        </w:rPr>
        <w:t>个三级指标，各项指标评分情况分析如下：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</w:t>
      </w:r>
    </w:p>
    <w:p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color w:val="auto"/>
          <w:sz w:val="32"/>
        </w:rPr>
      </w:pPr>
      <w:r>
        <w:rPr>
          <w:rFonts w:ascii="Times New Roman" w:hAnsi="Times New Roman" w:eastAsia="楷体_GB2312"/>
          <w:b/>
          <w:bCs/>
          <w:color w:val="auto"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color w:val="auto"/>
          <w:sz w:val="32"/>
          <w:lang w:val="en-US" w:eastAsia="zh-CN"/>
        </w:rPr>
        <w:t>1.02</w:t>
      </w:r>
      <w:r>
        <w:rPr>
          <w:rFonts w:ascii="Times New Roman" w:hAnsi="Times New Roman" w:eastAsia="楷体_GB2312"/>
          <w:b/>
          <w:bCs/>
          <w:color w:val="auto"/>
          <w:sz w:val="32"/>
        </w:rPr>
        <w:t>分）</w:t>
      </w:r>
    </w:p>
    <w:p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2024年淮南路项目胜利路街道辖区内第一批征迁安置补偿</w:t>
      </w:r>
      <w:r>
        <w:rPr>
          <w:rFonts w:ascii="Times New Roman" w:hAnsi="Times New Roman" w:eastAsia="仿宋_GB2312"/>
          <w:color w:val="auto"/>
          <w:sz w:val="32"/>
          <w:szCs w:val="32"/>
        </w:rPr>
        <w:t>项目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年初预算数为521.71</w:t>
      </w:r>
      <w:r>
        <w:rPr>
          <w:rFonts w:ascii="Times New Roman" w:hAnsi="Times New Roman" w:eastAsia="仿宋_GB2312"/>
          <w:color w:val="auto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全年预算数为521.71万元，</w:t>
      </w:r>
      <w:r>
        <w:rPr>
          <w:rFonts w:ascii="Times New Roman" w:hAnsi="Times New Roman" w:eastAsia="仿宋_GB2312"/>
          <w:color w:val="auto"/>
          <w:sz w:val="32"/>
          <w:szCs w:val="32"/>
        </w:rPr>
        <w:t>全年执行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53.05</w:t>
      </w:r>
      <w:r>
        <w:rPr>
          <w:rFonts w:ascii="Times New Roman" w:hAnsi="Times New Roman" w:eastAsia="仿宋_GB2312"/>
          <w:color w:val="auto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10.17</w:t>
      </w:r>
      <w:r>
        <w:rPr>
          <w:rFonts w:ascii="Times New Roman" w:hAnsi="Times New Roman" w:eastAsia="仿宋_GB2312"/>
          <w:color w:val="auto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1.02</w:t>
      </w:r>
      <w:r>
        <w:rPr>
          <w:rFonts w:ascii="Times New Roman" w:hAnsi="Times New Roman" w:eastAsia="仿宋_GB2312"/>
          <w:color w:val="auto"/>
          <w:sz w:val="32"/>
          <w:szCs w:val="32"/>
        </w:rPr>
        <w:t>分。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auto"/>
          <w:sz w:val="32"/>
          <w:szCs w:val="32"/>
        </w:rPr>
      </w:pPr>
      <w:r>
        <w:rPr>
          <w:rFonts w:ascii="Times New Roman" w:hAnsi="Times New Roman" w:eastAsia="楷体_GB2312"/>
          <w:b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auto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auto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auto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auto"/>
          <w:sz w:val="32"/>
          <w:szCs w:val="32"/>
          <w:lang w:val="en-US" w:eastAsia="zh-CN"/>
        </w:rPr>
        <w:t>43.2</w:t>
      </w:r>
      <w:r>
        <w:rPr>
          <w:rFonts w:ascii="Times New Roman" w:hAnsi="Times New Roman" w:eastAsia="楷体_GB2312"/>
          <w:b/>
          <w:color w:val="auto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9.5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ascii="Times New Roman" w:eastAsia="仿宋_GB2312"/>
          <w:color w:val="auto"/>
          <w:sz w:val="32"/>
          <w:szCs w:val="32"/>
        </w:rPr>
        <w:t>年度设定的数量指标为</w:t>
      </w:r>
      <w:r>
        <w:rPr>
          <w:rFonts w:hint="eastAsia" w:ascii="Times New Roman" w:eastAsia="仿宋_GB2312"/>
          <w:color w:val="auto"/>
          <w:sz w:val="32"/>
          <w:szCs w:val="32"/>
        </w:rPr>
        <w:t>征迁安置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50</w:t>
      </w:r>
      <w:r>
        <w:rPr>
          <w:rFonts w:hint="eastAsia" w:ascii="Times New Roman" w:eastAsia="仿宋_GB2312"/>
          <w:color w:val="auto"/>
          <w:sz w:val="32"/>
          <w:szCs w:val="32"/>
        </w:rPr>
        <w:t>户数</w:t>
      </w:r>
      <w:r>
        <w:rPr>
          <w:rFonts w:ascii="Times New Roman" w:eastAsia="仿宋_GB2312"/>
          <w:color w:val="auto"/>
          <w:sz w:val="32"/>
          <w:szCs w:val="32"/>
        </w:rPr>
        <w:t>；截至</w:t>
      </w:r>
      <w:r>
        <w:rPr>
          <w:rFonts w:eastAsia="仿宋_GB2312"/>
          <w:color w:val="auto"/>
          <w:sz w:val="32"/>
          <w:szCs w:val="32"/>
        </w:rPr>
        <w:t>202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4</w:t>
      </w:r>
      <w:r>
        <w:rPr>
          <w:rFonts w:ascii="Times New Roman" w:eastAsia="仿宋_GB2312"/>
          <w:color w:val="auto"/>
          <w:sz w:val="32"/>
          <w:szCs w:val="32"/>
        </w:rPr>
        <w:t>年底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已完成征迁20户，仅有10户符合证照认定及区审，并完成第一批10户征迁补偿款的拨付</w:t>
      </w:r>
      <w:r>
        <w:rPr>
          <w:rFonts w:ascii="Times New Roman" w:eastAsia="仿宋_GB2312"/>
          <w:color w:val="auto"/>
          <w:sz w:val="32"/>
          <w:szCs w:val="32"/>
        </w:rPr>
        <w:t>，得分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9.5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2.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质量</w:t>
      </w:r>
      <w:r>
        <w:rPr>
          <w:rFonts w:ascii="Times New Roman" w:hAnsi="Times New Roman" w:eastAsia="仿宋_GB2312"/>
          <w:color w:val="auto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7.9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ascii="Times New Roman" w:eastAsia="仿宋_GB2312"/>
          <w:color w:val="auto"/>
          <w:sz w:val="32"/>
          <w:szCs w:val="32"/>
        </w:rPr>
        <w:t>年度设定的时效指标为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支出合规性</w:t>
      </w:r>
      <w:r>
        <w:rPr>
          <w:rFonts w:ascii="Times New Roman" w:eastAsia="仿宋_GB2312"/>
          <w:color w:val="auto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部分达成预期指标并具有一定效果</w:t>
      </w:r>
      <w:r>
        <w:rPr>
          <w:rFonts w:ascii="Times New Roman" w:hAnsi="Times New Roman" w:eastAsia="仿宋_GB2312"/>
          <w:b/>
          <w:color w:val="auto"/>
          <w:sz w:val="32"/>
          <w:szCs w:val="32"/>
        </w:rPr>
        <w:t>，</w:t>
      </w:r>
      <w:r>
        <w:rPr>
          <w:rFonts w:asci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7.9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3.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时效</w:t>
      </w:r>
      <w:r>
        <w:rPr>
          <w:rFonts w:ascii="Times New Roman" w:hAnsi="Times New Roman" w:eastAsia="仿宋_GB2312"/>
          <w:color w:val="auto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5.9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ascii="Times New Roman" w:eastAsia="仿宋_GB2312"/>
          <w:color w:val="auto"/>
          <w:sz w:val="32"/>
          <w:szCs w:val="32"/>
        </w:rPr>
        <w:t>年度设定的质量指标为</w:t>
      </w:r>
      <w:r>
        <w:rPr>
          <w:rFonts w:hint="eastAsia" w:ascii="Times New Roman" w:eastAsia="仿宋_GB2312"/>
          <w:color w:val="auto"/>
          <w:sz w:val="32"/>
          <w:szCs w:val="32"/>
        </w:rPr>
        <w:t>经费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支出时效性</w:t>
      </w:r>
      <w:r>
        <w:rPr>
          <w:rFonts w:ascii="Times New Roman" w:eastAsia="仿宋_GB2312"/>
          <w:color w:val="auto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未完成预期指标</w:t>
      </w:r>
      <w:r>
        <w:rPr>
          <w:rFonts w:ascii="Times New Roman" w:hAnsi="Times New Roman" w:eastAsia="仿宋_GB2312"/>
          <w:color w:val="auto"/>
          <w:sz w:val="32"/>
          <w:szCs w:val="32"/>
        </w:rPr>
        <w:t>，</w:t>
      </w:r>
      <w:r>
        <w:rPr>
          <w:rFonts w:asci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5.9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19.9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  <w:r>
        <w:rPr>
          <w:rFonts w:ascii="Times New Roman" w:hAnsi="Times New Roman" w:eastAsia="仿宋_GB2312"/>
          <w:color w:val="auto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ascii="Times New Roman" w:eastAsia="仿宋_GB2312"/>
          <w:color w:val="auto"/>
          <w:sz w:val="32"/>
          <w:szCs w:val="32"/>
        </w:rPr>
        <w:t>年度设定的成本指标为</w:t>
      </w:r>
      <w:r>
        <w:rPr>
          <w:rFonts w:hint="eastAsia" w:ascii="Times New Roman" w:eastAsia="仿宋_GB2312"/>
          <w:color w:val="auto"/>
          <w:sz w:val="32"/>
          <w:szCs w:val="32"/>
        </w:rPr>
        <w:t>项目总成本</w:t>
      </w:r>
      <w:r>
        <w:rPr>
          <w:rFonts w:ascii="Times New Roman" w:eastAsia="仿宋_GB2312"/>
          <w:color w:val="auto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=53.05万元</w:t>
      </w:r>
      <w:r>
        <w:rPr>
          <w:rFonts w:hint="eastAsia" w:ascii="Times New Roman" w:eastAsia="仿宋_GB2312"/>
          <w:color w:val="auto"/>
          <w:sz w:val="32"/>
          <w:szCs w:val="32"/>
        </w:rPr>
        <w:t>预算数</w:t>
      </w:r>
      <w:r>
        <w:rPr>
          <w:rFonts w:ascii="Times New Roman" w:hAnsi="Times New Roman" w:eastAsia="仿宋_GB2312"/>
          <w:b/>
          <w:color w:val="auto"/>
          <w:sz w:val="32"/>
          <w:szCs w:val="32"/>
        </w:rPr>
        <w:t>，</w:t>
      </w:r>
      <w:r>
        <w:rPr>
          <w:rFonts w:asci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19.9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>
      <w:pPr>
        <w:widowControl/>
        <w:spacing w:line="600" w:lineRule="exact"/>
        <w:ind w:right="-283" w:firstLine="643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楷体_GB2312"/>
          <w:b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auto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auto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auto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auto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Times New Roman" w:eastAsia="仿宋_GB2312"/>
          <w:color w:val="auto"/>
          <w:sz w:val="32"/>
          <w:szCs w:val="32"/>
        </w:rPr>
        <w:t>.</w:t>
      </w:r>
      <w:r>
        <w:rPr>
          <w:rFonts w:ascii="Times New Roman" w:eastAsia="仿宋_GB2312"/>
          <w:color w:val="auto"/>
          <w:sz w:val="32"/>
          <w:szCs w:val="32"/>
        </w:rPr>
        <w:t>社会效益指标（满分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asci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ascii="Times New Roman" w:eastAsia="仿宋_GB2312"/>
          <w:color w:val="auto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default" w:ascii="Times New Roman" w:eastAsia="仿宋_GB2312"/>
          <w:color w:val="auto"/>
          <w:sz w:val="32"/>
          <w:szCs w:val="32"/>
          <w:lang w:val="en-US" w:eastAsia="zh-CN"/>
        </w:rPr>
      </w:pPr>
      <w:r>
        <w:rPr>
          <w:rFonts w:ascii="Times New Roman" w:eastAsia="仿宋_GB2312"/>
          <w:color w:val="auto"/>
          <w:sz w:val="32"/>
          <w:szCs w:val="32"/>
        </w:rPr>
        <w:t>年度设定的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社会效益指标</w:t>
      </w:r>
      <w:r>
        <w:rPr>
          <w:rFonts w:ascii="Times New Roman" w:eastAsia="仿宋_GB2312"/>
          <w:color w:val="auto"/>
          <w:sz w:val="32"/>
          <w:szCs w:val="32"/>
        </w:rPr>
        <w:t>为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配合道路修建，改善群众居住环境，提升人民幸福感</w:t>
      </w:r>
      <w:r>
        <w:rPr>
          <w:rFonts w:ascii="Times New Roman" w:eastAsia="仿宋_GB2312"/>
          <w:color w:val="auto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效果明显</w:t>
      </w:r>
      <w:r>
        <w:rPr>
          <w:rFonts w:ascii="Times New Roman" w:hAnsi="Times New Roman" w:eastAsia="仿宋_GB2312"/>
          <w:b/>
          <w:color w:val="auto"/>
          <w:sz w:val="32"/>
          <w:szCs w:val="32"/>
        </w:rPr>
        <w:t>，</w:t>
      </w:r>
      <w:r>
        <w:rPr>
          <w:rFonts w:asci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  <w:lang w:val="en-US" w:eastAsia="zh-CN"/>
        </w:rPr>
        <w:t>2</w:t>
      </w:r>
      <w:r>
        <w:rPr>
          <w:rFonts w:eastAsia="仿宋_GB2312"/>
          <w:color w:val="auto"/>
          <w:sz w:val="32"/>
          <w:szCs w:val="32"/>
        </w:rPr>
        <w:t>.</w:t>
      </w:r>
      <w:r>
        <w:rPr>
          <w:rFonts w:ascii="Times New Roman" w:eastAsia="仿宋_GB2312"/>
          <w:color w:val="auto"/>
          <w:sz w:val="32"/>
          <w:szCs w:val="32"/>
        </w:rPr>
        <w:t>可持续影响指标（满分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asci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ascii="Times New Roman" w:eastAsia="仿宋_GB2312"/>
          <w:color w:val="auto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ascii="Times New Roman" w:eastAsia="仿宋_GB2312"/>
          <w:color w:val="auto"/>
          <w:sz w:val="32"/>
          <w:szCs w:val="32"/>
        </w:rPr>
        <w:t>年度设定的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可持续影响指标</w:t>
      </w:r>
      <w:r>
        <w:rPr>
          <w:rFonts w:ascii="Times New Roman" w:eastAsia="仿宋_GB2312"/>
          <w:color w:val="auto"/>
          <w:sz w:val="32"/>
          <w:szCs w:val="32"/>
        </w:rPr>
        <w:t>为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改善居民居住环境影响力</w:t>
      </w:r>
      <w:r>
        <w:rPr>
          <w:rFonts w:ascii="Times New Roman" w:eastAsia="仿宋_GB2312"/>
          <w:color w:val="auto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auto"/>
          <w:sz w:val="32"/>
          <w:szCs w:val="32"/>
        </w:rPr>
        <w:t>程度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明显</w:t>
      </w:r>
      <w:r>
        <w:rPr>
          <w:rFonts w:ascii="Times New Roman" w:hAnsi="Times New Roman" w:eastAsia="仿宋_GB2312"/>
          <w:b/>
          <w:color w:val="auto"/>
          <w:sz w:val="32"/>
          <w:szCs w:val="32"/>
        </w:rPr>
        <w:t>，</w:t>
      </w:r>
      <w:r>
        <w:rPr>
          <w:rFonts w:asci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楷体_GB2312"/>
          <w:b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auto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auto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auto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auto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auto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满意度</w:t>
      </w:r>
      <w:r>
        <w:rPr>
          <w:rFonts w:ascii="Times New Roman" w:hAnsi="Times New Roman" w:eastAsia="仿宋_GB2312"/>
          <w:color w:val="auto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ascii="Times New Roman" w:eastAsia="仿宋_GB2312"/>
          <w:color w:val="auto"/>
          <w:sz w:val="32"/>
          <w:szCs w:val="32"/>
        </w:rPr>
        <w:t>年度设定的时效指标为</w:t>
      </w:r>
      <w:r>
        <w:rPr>
          <w:rFonts w:hint="eastAsia" w:ascii="Times New Roman" w:eastAsia="仿宋_GB2312"/>
          <w:color w:val="auto"/>
          <w:sz w:val="32"/>
          <w:szCs w:val="32"/>
        </w:rPr>
        <w:t>服务对象满意度</w:t>
      </w:r>
      <w:r>
        <w:rPr>
          <w:rFonts w:ascii="Times New Roman" w:eastAsia="仿宋_GB2312"/>
          <w:color w:val="auto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auto"/>
          <w:sz w:val="32"/>
          <w:szCs w:val="32"/>
        </w:rPr>
        <w:t>≥9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Times New Roman" w:eastAsia="仿宋_GB2312"/>
          <w:color w:val="auto"/>
          <w:sz w:val="32"/>
          <w:szCs w:val="32"/>
        </w:rPr>
        <w:t>%</w:t>
      </w:r>
      <w:r>
        <w:rPr>
          <w:rFonts w:ascii="Times New Roman" w:hAnsi="Times New Roman" w:eastAsia="仿宋_GB2312"/>
          <w:b/>
          <w:color w:val="auto"/>
          <w:sz w:val="32"/>
          <w:szCs w:val="32"/>
        </w:rPr>
        <w:t>，</w:t>
      </w:r>
      <w:r>
        <w:rPr>
          <w:rFonts w:asci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eastAsia="仿宋_GB2312"/>
          <w:color w:val="auto"/>
          <w:sz w:val="32"/>
          <w:szCs w:val="32"/>
        </w:rPr>
        <w:t>10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auto"/>
          <w:sz w:val="32"/>
          <w:szCs w:val="32"/>
        </w:rPr>
      </w:pPr>
      <w:r>
        <w:rPr>
          <w:rFonts w:ascii="Times New Roman" w:hAnsi="Times New Roman" w:eastAsia="黑体"/>
          <w:color w:val="auto"/>
          <w:sz w:val="32"/>
          <w:szCs w:val="32"/>
        </w:rPr>
        <w:t>四、存在问题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此项目涉及上海铁路局工务段和工寓段协调进度缓慢，房屋征收工作尚未完成，故安置款未支付，造成资金无法按计划有序支出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" w:eastAsia="zh-CN"/>
        </w:rPr>
        <w:t>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auto"/>
          <w:sz w:val="32"/>
          <w:szCs w:val="32"/>
        </w:rPr>
      </w:pPr>
      <w:r>
        <w:rPr>
          <w:rFonts w:ascii="Times New Roman" w:hAnsi="Times New Roman" w:eastAsia="黑体"/>
          <w:color w:val="auto"/>
          <w:sz w:val="32"/>
          <w:szCs w:val="32"/>
        </w:rPr>
        <w:t>五、意见和建议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为进一步提高专项资金使用效益，针对存在的问题，提出如下建议：请市、区相关部门协调上海铁路局，积极协调解决权属下划和面积确认工作，加快推进淮南路项目征迁和建设工作。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auto"/>
          <w:sz w:val="32"/>
          <w:szCs w:val="32"/>
        </w:rPr>
      </w:pPr>
      <w:r>
        <w:rPr>
          <w:rFonts w:ascii="Times New Roman" w:hAnsi="Times New Roman" w:eastAsia="黑体"/>
          <w:color w:val="auto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auto"/>
          <w:sz w:val="32"/>
          <w:szCs w:val="32"/>
        </w:rPr>
        <w:t>评价</w:t>
      </w:r>
      <w:r>
        <w:rPr>
          <w:rFonts w:ascii="Times New Roman" w:hAnsi="Times New Roman" w:eastAsia="黑体"/>
          <w:color w:val="auto"/>
          <w:sz w:val="32"/>
          <w:szCs w:val="32"/>
        </w:rPr>
        <w:t>依据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根据区直相关部门的工作文件。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auto"/>
          <w:sz w:val="32"/>
          <w:szCs w:val="32"/>
        </w:rPr>
      </w:pPr>
      <w:r>
        <w:rPr>
          <w:rFonts w:ascii="Times New Roman" w:hAnsi="Times New Roman" w:eastAsia="黑体"/>
          <w:color w:val="auto"/>
          <w:sz w:val="32"/>
          <w:szCs w:val="32"/>
        </w:rPr>
        <w:t>七、附件</w:t>
      </w:r>
    </w:p>
    <w:p>
      <w:pPr>
        <w:spacing w:line="600" w:lineRule="exact"/>
        <w:ind w:firstLine="640" w:firstLineChars="200"/>
        <w:rPr>
          <w:rFonts w:hint="eastAsia" w:ascii="Times New Roman" w:eastAsia="仿宋_GB2312"/>
          <w:color w:val="auto"/>
          <w:sz w:val="32"/>
          <w:szCs w:val="32"/>
          <w:lang w:eastAsia="zh-CN"/>
        </w:rPr>
      </w:pPr>
      <w:r>
        <w:rPr>
          <w:rFonts w:eastAsia="仿宋_GB2312"/>
          <w:color w:val="auto"/>
          <w:sz w:val="32"/>
          <w:szCs w:val="32"/>
        </w:rPr>
        <w:t>1</w:t>
      </w:r>
      <w:r>
        <w:rPr>
          <w:rFonts w:ascii="Times New Roman" w:eastAsia="仿宋_GB2312"/>
          <w:color w:val="auto"/>
          <w:sz w:val="32"/>
          <w:szCs w:val="32"/>
        </w:rPr>
        <w:t>.项目支出绩效自评表（附后）</w:t>
      </w:r>
      <w:r>
        <w:rPr>
          <w:rFonts w:hint="eastAsia" w:ascii="Times New Roman" w:eastAsia="仿宋_GB2312"/>
          <w:color w:val="auto"/>
          <w:sz w:val="32"/>
          <w:szCs w:val="32"/>
          <w:lang w:eastAsia="zh-CN"/>
        </w:rPr>
        <w:t>。</w:t>
      </w:r>
    </w:p>
    <w:p>
      <w:pPr>
        <w:rPr>
          <w:color w:val="FF0000"/>
        </w:rPr>
      </w:pP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"/>
        <w:gridCol w:w="362"/>
        <w:gridCol w:w="605"/>
        <w:gridCol w:w="656"/>
        <w:gridCol w:w="563"/>
        <w:gridCol w:w="508"/>
        <w:gridCol w:w="556"/>
        <w:gridCol w:w="702"/>
        <w:gridCol w:w="363"/>
        <w:gridCol w:w="508"/>
        <w:gridCol w:w="32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 xml:space="preserve">       项目支出绩效自评表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（2024年度）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13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2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75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4244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淮南路项目胜利路街道辖区内第一批征迁安置补偿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75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143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530-合肥市瑶海区财政局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244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051001-合肥市瑶海区胜利路街道办事处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755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项目资金                    （万元）</w:t>
            </w:r>
          </w:p>
        </w:tc>
        <w:tc>
          <w:tcPr>
            <w:tcW w:w="7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年初预算数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分值 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执行率</w:t>
            </w:r>
          </w:p>
        </w:tc>
        <w:tc>
          <w:tcPr>
            <w:tcW w:w="1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755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年度资金总额：</w:t>
            </w: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521.71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521.71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53.05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10.17%</w:t>
            </w:r>
          </w:p>
        </w:tc>
        <w:tc>
          <w:tcPr>
            <w:tcW w:w="1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755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其中：本年财政拨款</w:t>
            </w: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521.71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521.71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53.05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755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上年结转资金</w:t>
            </w: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755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5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      其他资金</w:t>
            </w: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1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197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280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0" w:hRule="atLeast"/>
        </w:trPr>
        <w:tc>
          <w:tcPr>
            <w:tcW w:w="2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申请财政资金731.79万元，用于淮南线项目房屋拆除，保障道路建设按期施工。</w:t>
            </w:r>
          </w:p>
        </w:tc>
        <w:tc>
          <w:tcPr>
            <w:tcW w:w="280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部分被征迁户提供资料存在问题，未完成审核，部分被征迁户未交房。故未完成全年目标。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1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111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年度指标值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1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产出指标(50分)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111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征迁安置户数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＝50户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9.5</w:t>
            </w:r>
          </w:p>
        </w:tc>
        <w:tc>
          <w:tcPr>
            <w:tcW w:w="1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部分被征迁户提供资料存在问题，未完成审核，部分被征迁户未交房。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111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经费支出合规性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合规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部分达成预期指标并具有一定效果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7.9</w:t>
            </w:r>
          </w:p>
        </w:tc>
        <w:tc>
          <w:tcPr>
            <w:tcW w:w="1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部分被征迁户提供资料存在问题，未完成审核，部分被征迁户未交房。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111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经费支出时效性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12月底完成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未完成预期指标且效果较差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5.9</w:t>
            </w:r>
          </w:p>
        </w:tc>
        <w:tc>
          <w:tcPr>
            <w:tcW w:w="1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部分被征迁户提供资料存在问题，未完成审核，部分被征迁户未交房。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111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项目总成本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＝7317900元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530522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19.9</w:t>
            </w:r>
          </w:p>
        </w:tc>
        <w:tc>
          <w:tcPr>
            <w:tcW w:w="1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部分被征迁户提供资料存在问题，未完成审核，部分被征迁户未交房。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效益指标(30分)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经济效益指标</w:t>
            </w:r>
          </w:p>
        </w:tc>
        <w:tc>
          <w:tcPr>
            <w:tcW w:w="111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111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配合道路修建，改善群众居住环境，提升人民幸福感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效果明显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生态效益指标</w:t>
            </w:r>
          </w:p>
        </w:tc>
        <w:tc>
          <w:tcPr>
            <w:tcW w:w="111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本指标不适用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111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改善居民居住环境影响力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程度明显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满意度指标(10分)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111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服务对象满意度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≥98%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19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84.22</w:t>
            </w:r>
          </w:p>
        </w:tc>
        <w:tc>
          <w:tcPr>
            <w:tcW w:w="1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bookmarkEnd w:id="0"/>
    </w:tbl>
    <w:p>
      <w:pPr>
        <w:widowControl/>
        <w:jc w:val="left"/>
        <w:rPr>
          <w:color w:val="FF0000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0ODZjNDYxZDk5NDY2NDIyOGYyN2U1NzQwZjdhMjA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46D6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01460DB8"/>
    <w:rsid w:val="03B37019"/>
    <w:rsid w:val="08412DBC"/>
    <w:rsid w:val="0C8C24F7"/>
    <w:rsid w:val="0FA1275E"/>
    <w:rsid w:val="10FE598E"/>
    <w:rsid w:val="1273257B"/>
    <w:rsid w:val="153D4CD7"/>
    <w:rsid w:val="1580063C"/>
    <w:rsid w:val="16F716AA"/>
    <w:rsid w:val="1A962E09"/>
    <w:rsid w:val="1BD792BA"/>
    <w:rsid w:val="1C4F709D"/>
    <w:rsid w:val="1E6600A2"/>
    <w:rsid w:val="1E731769"/>
    <w:rsid w:val="200F101E"/>
    <w:rsid w:val="241A50E9"/>
    <w:rsid w:val="25983863"/>
    <w:rsid w:val="27FA6A3D"/>
    <w:rsid w:val="2F1B4A9E"/>
    <w:rsid w:val="2FBA18BA"/>
    <w:rsid w:val="2FC40521"/>
    <w:rsid w:val="2FFC4CEE"/>
    <w:rsid w:val="34E22D4D"/>
    <w:rsid w:val="353B77E2"/>
    <w:rsid w:val="39EC3A8B"/>
    <w:rsid w:val="3A4D6EBA"/>
    <w:rsid w:val="3CFE57A8"/>
    <w:rsid w:val="3D17003D"/>
    <w:rsid w:val="3EB75BFF"/>
    <w:rsid w:val="3F2C4E2B"/>
    <w:rsid w:val="41FF10FA"/>
    <w:rsid w:val="44557E8E"/>
    <w:rsid w:val="44C06BEE"/>
    <w:rsid w:val="49A40179"/>
    <w:rsid w:val="4A046484"/>
    <w:rsid w:val="54AB3C68"/>
    <w:rsid w:val="56942652"/>
    <w:rsid w:val="57F86260"/>
    <w:rsid w:val="5B2737C9"/>
    <w:rsid w:val="5C736320"/>
    <w:rsid w:val="5E8F794D"/>
    <w:rsid w:val="5F9C8719"/>
    <w:rsid w:val="5FF43F05"/>
    <w:rsid w:val="64266808"/>
    <w:rsid w:val="66E075F9"/>
    <w:rsid w:val="67A36F3B"/>
    <w:rsid w:val="699B2EEF"/>
    <w:rsid w:val="69F820EF"/>
    <w:rsid w:val="6B8A44FA"/>
    <w:rsid w:val="6D0D5EB2"/>
    <w:rsid w:val="6DF8D820"/>
    <w:rsid w:val="6FED328C"/>
    <w:rsid w:val="709216B9"/>
    <w:rsid w:val="71373859"/>
    <w:rsid w:val="732453BC"/>
    <w:rsid w:val="739068A8"/>
    <w:rsid w:val="75630D65"/>
    <w:rsid w:val="757E6187"/>
    <w:rsid w:val="779BD1C3"/>
    <w:rsid w:val="79053EE1"/>
    <w:rsid w:val="794E7636"/>
    <w:rsid w:val="7A7A445B"/>
    <w:rsid w:val="7BBCDE22"/>
    <w:rsid w:val="7D66762B"/>
    <w:rsid w:val="7F7D9BD7"/>
    <w:rsid w:val="7FE90663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0"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Date"/>
    <w:basedOn w:val="1"/>
    <w:next w:val="1"/>
    <w:link w:val="25"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6">
    <w:name w:val="Balloon Text"/>
    <w:basedOn w:val="1"/>
    <w:link w:val="24"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7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9">
    <w:name w:val="toc 1"/>
    <w:basedOn w:val="1"/>
    <w:next w:val="1"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2">
    <w:name w:val="Table Grid"/>
    <w:basedOn w:val="11"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qFormat/>
    <w:uiPriority w:val="0"/>
  </w:style>
  <w:style w:type="character" w:styleId="15">
    <w:name w:val="Hyperlink"/>
    <w:qFormat/>
    <w:uiPriority w:val="0"/>
    <w:rPr>
      <w:color w:val="0000FF"/>
      <w:u w:val="single"/>
    </w:rPr>
  </w:style>
  <w:style w:type="character" w:customStyle="1" w:styleId="16">
    <w:name w:val="标题 1 Char"/>
    <w:basedOn w:val="13"/>
    <w:link w:val="2"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7">
    <w:name w:val="页脚 Char"/>
    <w:basedOn w:val="13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Char"/>
    <w:basedOn w:val="13"/>
    <w:link w:val="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正文缩进 Char"/>
    <w:link w:val="4"/>
    <w:qFormat/>
    <w:uiPriority w:val="0"/>
    <w:rPr>
      <w:sz w:val="28"/>
    </w:rPr>
  </w:style>
  <w:style w:type="character" w:customStyle="1" w:styleId="21">
    <w:name w:val="正文啊 Char Char"/>
    <w:link w:val="22"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2">
    <w:name w:val="正文啊"/>
    <w:basedOn w:val="1"/>
    <w:link w:val="21"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3">
    <w:name w:val="Char"/>
    <w:basedOn w:val="1"/>
    <w:next w:val="1"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4">
    <w:name w:val="批注框文本 Char"/>
    <w:basedOn w:val="13"/>
    <w:link w:val="6"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5">
    <w:name w:val="日期 Char"/>
    <w:basedOn w:val="13"/>
    <w:link w:val="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6">
    <w:name w:val="Default Paragraph Char Char Char Char"/>
    <w:basedOn w:val="1"/>
    <w:next w:val="1"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1451</Words>
  <Characters>1610</Characters>
  <Lines>102</Lines>
  <Paragraphs>28</Paragraphs>
  <TotalTime>14</TotalTime>
  <ScaleCrop>false</ScaleCrop>
  <LinksUpToDate>false</LinksUpToDate>
  <CharactersWithSpaces>1751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时光正好</cp:lastModifiedBy>
  <cp:lastPrinted>2022-12-06T16:18:00Z</cp:lastPrinted>
  <dcterms:modified xsi:type="dcterms:W3CDTF">2025-09-02T02:57:11Z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C98A95235BF845FC8A87D6B48F69C293_13</vt:lpwstr>
  </property>
  <property fmtid="{D5CDD505-2E9C-101B-9397-08002B2CF9AE}" pid="4" name="KSOTemplateDocerSaveRecord">
    <vt:lpwstr>eyJoZGlkIjoiNzhkN2EzYjZmNDg1OTM0ODVkNDg1YWRkMDdhY2VjOTIiLCJ1c2VySWQiOiIzMzg5ODgyOTYifQ==</vt:lpwstr>
  </property>
</Properties>
</file>