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default" w:ascii="Times New Roman" w:hAnsi="Times New Roman" w:eastAsia="黑体"/>
          <w:bCs/>
          <w:sz w:val="32"/>
          <w:szCs w:val="32"/>
          <w:lang w:val="en-US" w:eastAsia="zh-CN"/>
        </w:rPr>
      </w:pPr>
    </w:p>
    <w:p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>
      <w:pPr>
        <w:jc w:val="center"/>
        <w:rPr>
          <w:rFonts w:ascii="Times New Roman" w:hAnsi="Times New Roman" w:eastAsia="黑体"/>
          <w:bCs/>
          <w:sz w:val="44"/>
        </w:rPr>
      </w:pPr>
    </w:p>
    <w:p>
      <w:pPr>
        <w:jc w:val="center"/>
        <w:rPr>
          <w:rFonts w:ascii="Times New Roman" w:hAnsi="Times New Roman" w:eastAsia="黑体"/>
          <w:bCs/>
          <w:sz w:val="44"/>
        </w:rPr>
      </w:pPr>
    </w:p>
    <w:p>
      <w:pPr>
        <w:spacing w:line="600" w:lineRule="exact"/>
        <w:jc w:val="center"/>
        <w:rPr>
          <w:rFonts w:ascii="Times New Roman" w:hAnsi="Times New Roman" w:eastAsia="方正小标宋简体"/>
          <w:bCs/>
          <w:sz w:val="44"/>
        </w:rPr>
      </w:pPr>
      <w:r>
        <w:rPr>
          <w:rFonts w:ascii="Times New Roman" w:hAnsi="Times New Roman" w:eastAsia="方正小标宋简体"/>
          <w:bCs/>
          <w:sz w:val="44"/>
        </w:rPr>
        <w:t>合肥市财政支出项目</w:t>
      </w:r>
      <w:r>
        <w:rPr>
          <w:rFonts w:hint="eastAsia" w:ascii="Times New Roman" w:hAnsi="Times New Roman" w:eastAsia="方正小标宋简体"/>
          <w:bCs/>
          <w:sz w:val="44"/>
        </w:rPr>
        <w:t>部门评价</w:t>
      </w:r>
      <w:r>
        <w:rPr>
          <w:rFonts w:ascii="Times New Roman" w:hAnsi="Times New Roman" w:eastAsia="方正小标宋简体"/>
          <w:bCs/>
          <w:sz w:val="44"/>
        </w:rPr>
        <w:t>报告</w:t>
      </w:r>
    </w:p>
    <w:p>
      <w:pPr>
        <w:jc w:val="center"/>
        <w:rPr>
          <w:rFonts w:ascii="Times New Roman" w:hAnsi="Times New Roman" w:eastAsia="楷体_GB2312"/>
          <w:b/>
          <w:bCs/>
          <w:sz w:val="32"/>
        </w:rPr>
      </w:pPr>
    </w:p>
    <w:p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</w:rPr>
      </w:pPr>
    </w:p>
    <w:p>
      <w:pPr>
        <w:spacing w:before="156" w:beforeLines="50" w:after="156" w:afterLines="50"/>
        <w:ind w:left="2207" w:leftChars="289" w:hanging="1600" w:hangingChars="5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   目   名   称 ：</w:t>
      </w:r>
      <w:r>
        <w:rPr>
          <w:rFonts w:ascii="Times New Roman" w:hAnsi="Times New Roman" w:eastAsia="楷体_GB2312"/>
          <w:sz w:val="32"/>
          <w:u w:val="single"/>
        </w:rPr>
        <w:t xml:space="preserve"> </w:t>
      </w:r>
      <w:r>
        <w:rPr>
          <w:rFonts w:hint="eastAsia" w:ascii="Times New Roman" w:hAnsi="Times New Roman" w:eastAsia="楷体_GB2312"/>
          <w:sz w:val="32"/>
          <w:u w:val="single"/>
          <w:lang w:val="en-US" w:eastAsia="zh-CN"/>
        </w:rPr>
        <w:t>2024年</w:t>
      </w:r>
      <w:r>
        <w:rPr>
          <w:rFonts w:hint="eastAsia" w:ascii="Times New Roman" w:hAnsi="Times New Roman" w:eastAsia="楷体_GB2312"/>
          <w:sz w:val="32"/>
          <w:u w:val="single"/>
          <w:lang w:eastAsia="zh-CN"/>
        </w:rPr>
        <w:t>老年人福利补贴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     </w:t>
      </w:r>
    </w:p>
    <w:p>
      <w:pPr>
        <w:spacing w:before="156" w:beforeLines="50" w:after="156" w:afterLines="50"/>
        <w:ind w:left="1887" w:leftChars="289" w:hanging="1280" w:hangingChars="4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   目   单   位 ：</w:t>
      </w:r>
      <w:r>
        <w:rPr>
          <w:rFonts w:ascii="Times New Roman" w:hAnsi="Times New Roman" w:eastAsia="楷体_GB2312"/>
          <w:sz w:val="32"/>
          <w:u w:val="single"/>
        </w:rPr>
        <w:t xml:space="preserve"> </w:t>
      </w:r>
      <w:r>
        <w:rPr>
          <w:rFonts w:hint="eastAsia" w:ascii="Times New Roman" w:hAnsi="Times New Roman" w:eastAsia="楷体_GB2312"/>
          <w:sz w:val="32"/>
          <w:u w:val="single"/>
          <w:lang w:val="en-US" w:eastAsia="zh-CN"/>
        </w:rPr>
        <w:t>合肥市瑶海区胜利路街道办事处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     </w:t>
      </w:r>
    </w:p>
    <w:p>
      <w:pPr>
        <w:spacing w:before="156" w:beforeLines="50" w:after="156" w:afterLines="50"/>
        <w:ind w:left="1887" w:leftChars="289" w:hanging="1280" w:hangingChars="4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项目责任人 （签字）：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      </w:t>
      </w:r>
    </w:p>
    <w:p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主 管 部 门（盖章）：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      </w:t>
      </w:r>
    </w:p>
    <w:p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</w:rPr>
      </w:pPr>
    </w:p>
    <w:p>
      <w:pPr>
        <w:ind w:firstLine="614" w:firstLineChars="192"/>
        <w:jc w:val="center"/>
        <w:rPr>
          <w:rFonts w:ascii="Times New Roman" w:hAnsi="Times New Roman" w:eastAsia="楷体_GB2312"/>
          <w:sz w:val="32"/>
        </w:rPr>
      </w:pPr>
    </w:p>
    <w:p>
      <w:pPr>
        <w:spacing w:line="600" w:lineRule="exact"/>
        <w:jc w:val="center"/>
        <w:rPr>
          <w:rFonts w:hint="eastAsia" w:ascii="Times New Roman" w:hAnsi="Times New Roman" w:eastAsia="方正小标宋简体"/>
          <w:bCs/>
          <w:sz w:val="44"/>
          <w:szCs w:val="24"/>
        </w:rPr>
      </w:pPr>
      <w:r>
        <w:rPr>
          <w:rFonts w:ascii="Times New Roman" w:hAnsi="Times New Roman" w:eastAsia="楷体"/>
          <w:sz w:val="32"/>
        </w:rPr>
        <w:t xml:space="preserve">      202</w:t>
      </w:r>
      <w:r>
        <w:rPr>
          <w:rFonts w:hint="eastAsia" w:ascii="Times New Roman" w:hAnsi="Times New Roman" w:eastAsia="楷体"/>
          <w:sz w:val="32"/>
          <w:lang w:val="en-US" w:eastAsia="zh-CN"/>
        </w:rPr>
        <w:t>5</w:t>
      </w:r>
      <w:r>
        <w:rPr>
          <w:rFonts w:ascii="Times New Roman" w:hAnsi="Times New Roman" w:eastAsia="楷体_GB2312"/>
          <w:sz w:val="32"/>
        </w:rPr>
        <w:t>年</w:t>
      </w:r>
      <w:r>
        <w:rPr>
          <w:rFonts w:hint="eastAsia" w:ascii="Times New Roman" w:hAnsi="Times New Roman" w:eastAsia="楷体"/>
          <w:sz w:val="32"/>
          <w:lang w:val="en-US" w:eastAsia="zh-CN"/>
        </w:rPr>
        <w:t>3</w:t>
      </w:r>
      <w:r>
        <w:rPr>
          <w:rFonts w:ascii="Times New Roman" w:hAnsi="Times New Roman" w:eastAsia="楷体_GB2312"/>
          <w:sz w:val="32"/>
        </w:rPr>
        <w:t>月</w:t>
      </w:r>
      <w:r>
        <w:rPr>
          <w:rFonts w:ascii="Times New Roman" w:hAnsi="Times New Roman" w:eastAsia="楷体_GB2312"/>
          <w:sz w:val="32"/>
        </w:rPr>
        <w:br w:type="page"/>
      </w:r>
      <w:r>
        <w:rPr>
          <w:rFonts w:hint="eastAsia" w:ascii="Times New Roman" w:hAnsi="Times New Roman" w:eastAsia="方正小标宋简体"/>
          <w:bCs/>
          <w:sz w:val="44"/>
          <w:szCs w:val="24"/>
          <w:lang w:eastAsia="zh-CN"/>
        </w:rPr>
        <w:t>20</w:t>
      </w:r>
      <w:r>
        <w:rPr>
          <w:rFonts w:hint="eastAsia" w:ascii="Times New Roman" w:hAnsi="Times New Roman" w:eastAsia="方正小标宋简体"/>
          <w:bCs/>
          <w:sz w:val="44"/>
          <w:szCs w:val="24"/>
          <w:lang w:val="en-US" w:eastAsia="zh-CN"/>
        </w:rPr>
        <w:t>24年老年人福利补贴</w:t>
      </w:r>
      <w:r>
        <w:rPr>
          <w:rFonts w:hint="eastAsia" w:ascii="Times New Roman" w:hAnsi="Times New Roman" w:eastAsia="方正小标宋简体"/>
          <w:bCs/>
          <w:sz w:val="44"/>
          <w:szCs w:val="24"/>
        </w:rPr>
        <w:t>发放</w:t>
      </w:r>
      <w:r>
        <w:rPr>
          <w:rFonts w:ascii="Times New Roman" w:hAnsi="Times New Roman" w:eastAsia="方正小标宋简体"/>
          <w:bCs/>
          <w:sz w:val="44"/>
          <w:szCs w:val="24"/>
        </w:rPr>
        <w:t>项目</w:t>
      </w:r>
      <w:r>
        <w:rPr>
          <w:rFonts w:hint="eastAsia" w:ascii="Times New Roman" w:hAnsi="Times New Roman" w:eastAsia="方正小标宋简体"/>
          <w:bCs/>
          <w:sz w:val="44"/>
          <w:szCs w:val="24"/>
        </w:rPr>
        <w:t>部门</w:t>
      </w:r>
    </w:p>
    <w:p>
      <w:pPr>
        <w:spacing w:line="600" w:lineRule="exact"/>
        <w:jc w:val="center"/>
        <w:rPr>
          <w:rFonts w:ascii="Times New Roman" w:hAnsi="Times New Roman" w:eastAsia="方正小标宋简体"/>
          <w:bCs/>
          <w:sz w:val="44"/>
          <w:szCs w:val="24"/>
        </w:rPr>
      </w:pPr>
      <w:r>
        <w:rPr>
          <w:rFonts w:hint="eastAsia" w:ascii="Times New Roman" w:hAnsi="Times New Roman" w:eastAsia="方正小标宋简体"/>
          <w:bCs/>
          <w:sz w:val="44"/>
          <w:szCs w:val="24"/>
        </w:rPr>
        <w:t>评价</w:t>
      </w:r>
      <w:r>
        <w:rPr>
          <w:rFonts w:ascii="Times New Roman" w:hAnsi="Times New Roman" w:eastAsia="方正小标宋简体"/>
          <w:bCs/>
          <w:sz w:val="44"/>
          <w:szCs w:val="24"/>
        </w:rPr>
        <w:t>报告</w:t>
      </w:r>
    </w:p>
    <w:p>
      <w:pPr>
        <w:spacing w:line="580" w:lineRule="exact"/>
        <w:jc w:val="center"/>
        <w:rPr>
          <w:rFonts w:ascii="Times New Roman" w:hAnsi="Times New Roman" w:eastAsia="仿宋_GB2312"/>
          <w:bCs/>
          <w:sz w:val="32"/>
          <w:szCs w:val="32"/>
        </w:rPr>
      </w:pPr>
    </w:p>
    <w:p>
      <w:pPr>
        <w:widowControl/>
        <w:spacing w:line="56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一、项目基本情况</w:t>
      </w:r>
    </w:p>
    <w:p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（一）项目概况</w:t>
      </w:r>
    </w:p>
    <w:p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1.项目立项情况</w:t>
      </w:r>
    </w:p>
    <w:p>
      <w:pPr>
        <w:widowControl/>
        <w:spacing w:line="560" w:lineRule="exact"/>
        <w:ind w:firstLine="640" w:firstLineChars="200"/>
        <w:rPr>
          <w:rFonts w:hint="default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eastAsia="zh-CN"/>
        </w:rPr>
        <w:t>为落实“实施积极应对人口老龄化国家战略，发展养老事业和养老产业，推动实现全体老年人享有基本养老服务”的要求，根据《瑶海区推进基本养老服务体系建设实施方案》文件内容，按月为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80岁及以上老人发放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eastAsia="zh-CN"/>
        </w:rPr>
        <w:t>老年人福利补贴。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2.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项目执行情况</w:t>
      </w:r>
    </w:p>
    <w:p>
      <w:pPr>
        <w:numPr>
          <w:ilvl w:val="0"/>
          <w:numId w:val="0"/>
        </w:numPr>
        <w:spacing w:line="560" w:lineRule="exact"/>
        <w:rPr>
          <w:rFonts w:hint="default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 xml:space="preserve">     建立自然增长机制，具体标准由市、区民政部门等确定。项目</w:t>
      </w:r>
      <w:r>
        <w:rPr>
          <w:rFonts w:ascii="Times New Roman" w:hAnsi="Times New Roman" w:eastAsia="仿宋_GB2312"/>
          <w:sz w:val="32"/>
          <w:szCs w:val="32"/>
        </w:rPr>
        <w:t>预算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100.56万元，</w:t>
      </w:r>
      <w:r>
        <w:rPr>
          <w:rFonts w:ascii="Times New Roman" w:hAnsi="Times New Roman" w:eastAsia="仿宋_GB2312"/>
          <w:sz w:val="32"/>
          <w:szCs w:val="32"/>
        </w:rPr>
        <w:t>项目资金投入使用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100.56万元。</w:t>
      </w:r>
    </w:p>
    <w:p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（二）项目绩效目标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1.项目年度总体目标</w:t>
      </w:r>
    </w:p>
    <w:p>
      <w:pPr>
        <w:spacing w:line="56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加快建成覆盖全体老年人的养老服务体系，每月为到龄户籍老年人申报此项目，并按照相关标准进行发放。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2.总体目标完成情况</w:t>
      </w:r>
    </w:p>
    <w:p>
      <w:pPr>
        <w:spacing w:line="56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根据区民政局工作要求，对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80岁及以上老人进行动态管理，为1500余人发放老年人福利补贴。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本年度该项目发放完成。</w:t>
      </w:r>
    </w:p>
    <w:p>
      <w:pPr>
        <w:spacing w:line="56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二、绩效</w:t>
      </w:r>
      <w:r>
        <w:rPr>
          <w:rFonts w:hint="eastAsia" w:ascii="Times New Roman" w:hAnsi="Times New Roman" w:eastAsia="黑体"/>
          <w:color w:val="000000"/>
          <w:sz w:val="32"/>
          <w:szCs w:val="32"/>
        </w:rPr>
        <w:t>评价</w:t>
      </w:r>
      <w:r>
        <w:rPr>
          <w:rFonts w:ascii="Times New Roman" w:hAnsi="Times New Roman" w:eastAsia="黑体"/>
          <w:color w:val="000000"/>
          <w:sz w:val="32"/>
          <w:szCs w:val="32"/>
        </w:rPr>
        <w:t>结论</w:t>
      </w:r>
    </w:p>
    <w:p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（一）总体结论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sz w:val="32"/>
          <w:szCs w:val="32"/>
        </w:rPr>
        <w:t>年度，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通过各种活动形式加大此项目的宣传力度，提前为即将到龄老人进行登记，告知其申报材料，按照到龄月份进行申报审核，达到</w:t>
      </w:r>
      <w:r>
        <w:rPr>
          <w:rFonts w:ascii="Times New Roman" w:hAnsi="Times New Roman" w:eastAsia="仿宋_GB2312"/>
          <w:color w:val="000000"/>
          <w:sz w:val="32"/>
          <w:szCs w:val="32"/>
        </w:rPr>
        <w:t>项目预期效果。</w:t>
      </w:r>
    </w:p>
    <w:p>
      <w:pPr>
        <w:widowControl/>
        <w:spacing w:line="60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（二）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评价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结果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经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，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年度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eastAsia="zh-CN"/>
        </w:rPr>
        <w:t>老年人福利补贴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发放</w:t>
      </w:r>
      <w:r>
        <w:rPr>
          <w:rFonts w:ascii="Times New Roman" w:hAnsi="Times New Roman" w:eastAsia="仿宋_GB2312"/>
          <w:sz w:val="32"/>
          <w:szCs w:val="32"/>
        </w:rPr>
        <w:t>项目</w:t>
      </w:r>
      <w:r>
        <w:rPr>
          <w:rFonts w:ascii="Times New Roman" w:hAnsi="Times New Roman" w:eastAsia="仿宋_GB2312"/>
          <w:color w:val="000000"/>
          <w:sz w:val="32"/>
          <w:szCs w:val="32"/>
        </w:rPr>
        <w:t>综合得分为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结果为“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优</w:t>
      </w:r>
      <w:r>
        <w:rPr>
          <w:rFonts w:ascii="Times New Roman" w:hAnsi="Times New Roman" w:eastAsia="仿宋_GB2312"/>
          <w:color w:val="000000"/>
          <w:sz w:val="32"/>
          <w:szCs w:val="32"/>
        </w:rPr>
        <w:t>”。</w:t>
      </w:r>
    </w:p>
    <w:p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三、指标分析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年度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eastAsia="zh-CN"/>
        </w:rPr>
        <w:t>老年人福利补贴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发放项目</w:t>
      </w:r>
      <w:r>
        <w:rPr>
          <w:rFonts w:ascii="Times New Roman" w:hAnsi="Times New Roman" w:eastAsia="仿宋_GB2312"/>
          <w:color w:val="000000"/>
          <w:sz w:val="32"/>
          <w:szCs w:val="32"/>
        </w:rPr>
        <w:t>绩效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指标体系设置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预算执行率和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仿宋_GB2312"/>
          <w:color w:val="000000"/>
          <w:sz w:val="32"/>
          <w:szCs w:val="32"/>
        </w:rPr>
        <w:t>个一级指标，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7</w:t>
      </w:r>
      <w:r>
        <w:rPr>
          <w:rFonts w:ascii="Times New Roman" w:hAnsi="Times New Roman" w:eastAsia="仿宋_GB2312"/>
          <w:color w:val="000000"/>
          <w:sz w:val="32"/>
          <w:szCs w:val="32"/>
        </w:rPr>
        <w:t>个二级指标，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7</w:t>
      </w:r>
      <w:r>
        <w:rPr>
          <w:rFonts w:ascii="Times New Roman" w:hAnsi="Times New Roman" w:eastAsia="仿宋_GB2312"/>
          <w:color w:val="000000"/>
          <w:sz w:val="32"/>
          <w:szCs w:val="32"/>
        </w:rPr>
        <w:t>个三级指标，各项指标评分情况分析如下：</w:t>
      </w:r>
    </w:p>
    <w:p>
      <w:pPr>
        <w:spacing w:line="592" w:lineRule="exact"/>
        <w:ind w:firstLine="643" w:firstLineChars="200"/>
        <w:rPr>
          <w:rFonts w:ascii="Times New Roman" w:hAnsi="Times New Roman" w:eastAsia="楷体_GB2312"/>
          <w:b/>
          <w:bCs/>
          <w:sz w:val="32"/>
        </w:rPr>
      </w:pPr>
      <w:r>
        <w:rPr>
          <w:rFonts w:ascii="Times New Roman" w:hAnsi="Times New Roman" w:eastAsia="楷体_GB2312"/>
          <w:b/>
          <w:bCs/>
          <w:sz w:val="32"/>
        </w:rPr>
        <w:t>（一）预算执行率（满分10分，实得</w:t>
      </w:r>
      <w:r>
        <w:rPr>
          <w:rFonts w:hint="eastAsia" w:ascii="Times New Roman" w:hAnsi="Times New Roman" w:eastAsia="楷体_GB2312"/>
          <w:b/>
          <w:bCs/>
          <w:sz w:val="32"/>
          <w:lang w:val="en-US" w:eastAsia="zh-CN"/>
        </w:rPr>
        <w:t>10</w:t>
      </w:r>
      <w:r>
        <w:rPr>
          <w:rFonts w:ascii="Times New Roman" w:hAnsi="Times New Roman" w:eastAsia="楷体_GB2312"/>
          <w:b/>
          <w:bCs/>
          <w:sz w:val="32"/>
        </w:rPr>
        <w:t>分）</w:t>
      </w:r>
    </w:p>
    <w:p>
      <w:pPr>
        <w:spacing w:line="592" w:lineRule="exact"/>
        <w:ind w:right="-283"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color w:val="000000"/>
          <w:sz w:val="32"/>
          <w:szCs w:val="32"/>
        </w:rPr>
        <w:t>年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eastAsia="zh-CN"/>
        </w:rPr>
        <w:t>老年人福利补贴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发放项目</w:t>
      </w:r>
      <w:r>
        <w:rPr>
          <w:rFonts w:ascii="Times New Roman" w:hAnsi="Times New Roman" w:eastAsia="仿宋_GB2312"/>
          <w:color w:val="000000"/>
          <w:sz w:val="32"/>
          <w:szCs w:val="32"/>
        </w:rPr>
        <w:t>全年预算安排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100.56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万元，全年执行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100.56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万元，预算执行率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/>
          <w:color w:val="000000"/>
          <w:sz w:val="32"/>
          <w:szCs w:val="32"/>
        </w:rPr>
        <w:t>%，得分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。</w:t>
      </w:r>
    </w:p>
    <w:p>
      <w:pPr>
        <w:widowControl/>
        <w:spacing w:line="60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二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）产出指标（满分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50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50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1.数量指标（满分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sz w:val="32"/>
          <w:szCs w:val="32"/>
        </w:rPr>
        <w:t>分，</w:t>
      </w:r>
      <w:r>
        <w:rPr>
          <w:rFonts w:ascii="Times New Roman" w:hAnsi="Times New Roman" w:eastAsia="仿宋_GB2312"/>
          <w:color w:val="000000"/>
          <w:sz w:val="32"/>
          <w:szCs w:val="32"/>
        </w:rPr>
        <w:t>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年度设定的数量指标为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≥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1500人</w:t>
      </w:r>
      <w:r>
        <w:rPr>
          <w:rFonts w:ascii="Times New Roman" w:hAnsi="Times New Roman" w:eastAsia="仿宋_GB2312"/>
          <w:color w:val="000000"/>
          <w:sz w:val="32"/>
          <w:szCs w:val="32"/>
        </w:rPr>
        <w:t>；截至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年底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已完成</w:t>
      </w:r>
      <w:r>
        <w:rPr>
          <w:rFonts w:ascii="Times New Roman" w:hAnsi="Times New Roman" w:eastAsia="仿宋_GB2312"/>
          <w:color w:val="000000"/>
          <w:sz w:val="32"/>
          <w:szCs w:val="32"/>
        </w:rPr>
        <w:t>，实际完成率为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/>
          <w:color w:val="000000"/>
          <w:sz w:val="32"/>
          <w:szCs w:val="32"/>
        </w:rPr>
        <w:t>%，得分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</w:t>
      </w:r>
      <w:r>
        <w:rPr>
          <w:rFonts w:ascii="Times New Roman" w:hAnsi="Times New Roman" w:eastAsia="仿宋_GB2312"/>
          <w:color w:val="000000"/>
          <w:sz w:val="32"/>
          <w:szCs w:val="32"/>
        </w:rPr>
        <w:t>.质量指标（满分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年度设定的质量指标为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合规</w:t>
      </w:r>
      <w:r>
        <w:rPr>
          <w:rFonts w:ascii="Times New Roman" w:hAnsi="Times New Roman" w:eastAsia="仿宋_GB2312"/>
          <w:color w:val="000000"/>
          <w:sz w:val="32"/>
          <w:szCs w:val="32"/>
        </w:rPr>
        <w:t>；实际完成情况为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达成预期指标</w:t>
      </w:r>
      <w:r>
        <w:rPr>
          <w:rFonts w:ascii="Times New Roman" w:hAnsi="Times New Roman" w:eastAsia="仿宋_GB2312"/>
          <w:color w:val="000000"/>
          <w:sz w:val="32"/>
          <w:szCs w:val="32"/>
        </w:rPr>
        <w:t>，得分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仿宋_GB2312"/>
          <w:color w:val="000000"/>
          <w:sz w:val="32"/>
          <w:szCs w:val="32"/>
        </w:rPr>
        <w:t>.时效指标（满分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年度设定的时效指标为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202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年12月底完成</w:t>
      </w:r>
      <w:r>
        <w:rPr>
          <w:rFonts w:ascii="Times New Roman" w:hAnsi="Times New Roman" w:eastAsia="仿宋_GB2312"/>
          <w:color w:val="000000"/>
          <w:sz w:val="32"/>
          <w:szCs w:val="32"/>
        </w:rPr>
        <w:t>；实际完成情况为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达成预期指标</w:t>
      </w:r>
      <w:r>
        <w:rPr>
          <w:rFonts w:ascii="Times New Roman" w:hAnsi="Times New Roman" w:eastAsia="仿宋_GB2312"/>
          <w:b/>
          <w:color w:val="000000"/>
          <w:sz w:val="32"/>
          <w:szCs w:val="32"/>
        </w:rPr>
        <w:t>，</w:t>
      </w:r>
      <w:r>
        <w:rPr>
          <w:rFonts w:ascii="Times New Roman" w:hAnsi="Times New Roman" w:eastAsia="仿宋_GB2312"/>
          <w:color w:val="000000"/>
          <w:sz w:val="32"/>
          <w:szCs w:val="32"/>
        </w:rPr>
        <w:t>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4.成本指标（满分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  <w:r>
        <w:rPr>
          <w:rFonts w:ascii="Times New Roman" w:hAnsi="Times New Roman" w:eastAsia="仿宋_GB2312"/>
          <w:sz w:val="32"/>
          <w:szCs w:val="32"/>
        </w:rPr>
        <w:tab/>
      </w:r>
    </w:p>
    <w:p>
      <w:pPr>
        <w:widowControl/>
        <w:spacing w:line="600" w:lineRule="exact"/>
        <w:ind w:right="-283" w:firstLine="640" w:firstLineChars="200"/>
        <w:rPr>
          <w:rFonts w:ascii="Times New Roman" w:eastAsia="仿宋_GB2312"/>
          <w:color w:val="auto"/>
          <w:sz w:val="32"/>
          <w:szCs w:val="32"/>
        </w:rPr>
      </w:pPr>
      <w:r>
        <w:rPr>
          <w:rFonts w:ascii="Times New Roman" w:eastAsia="仿宋_GB2312"/>
          <w:color w:val="auto"/>
          <w:sz w:val="32"/>
          <w:szCs w:val="32"/>
        </w:rPr>
        <w:t>年度设定的成本指标为</w:t>
      </w:r>
      <w:r>
        <w:rPr>
          <w:rFonts w:hint="eastAsia" w:ascii="Times New Roman" w:eastAsia="仿宋_GB2312"/>
          <w:color w:val="auto"/>
          <w:sz w:val="32"/>
          <w:szCs w:val="32"/>
        </w:rPr>
        <w:t>项目总成本</w:t>
      </w:r>
      <w:r>
        <w:rPr>
          <w:rFonts w:ascii="Times New Roman" w:eastAsia="仿宋_GB2312"/>
          <w:color w:val="auto"/>
          <w:sz w:val="32"/>
          <w:szCs w:val="32"/>
        </w:rPr>
        <w:t>；实际完成情况为</w:t>
      </w:r>
      <w:r>
        <w:rPr>
          <w:rFonts w:hint="eastAsia" w:ascii="Times New Roman" w:eastAsia="仿宋_GB2312"/>
          <w:color w:val="auto"/>
          <w:sz w:val="32"/>
          <w:szCs w:val="32"/>
          <w:lang w:val="en-US" w:eastAsia="zh-CN"/>
        </w:rPr>
        <w:t>=100.56万元</w:t>
      </w:r>
      <w:r>
        <w:rPr>
          <w:rFonts w:hint="eastAsia" w:ascii="Times New Roman" w:eastAsia="仿宋_GB2312"/>
          <w:color w:val="auto"/>
          <w:sz w:val="32"/>
          <w:szCs w:val="32"/>
        </w:rPr>
        <w:t>预算数</w:t>
      </w:r>
      <w:r>
        <w:rPr>
          <w:rFonts w:ascii="Times New Roman" w:hAnsi="Times New Roman" w:eastAsia="仿宋_GB2312"/>
          <w:b/>
          <w:color w:val="auto"/>
          <w:sz w:val="32"/>
          <w:szCs w:val="32"/>
        </w:rPr>
        <w:t>，</w:t>
      </w:r>
      <w:r>
        <w:rPr>
          <w:rFonts w:ascii="Times New Roman" w:eastAsia="仿宋_GB2312"/>
          <w:color w:val="auto"/>
          <w:sz w:val="32"/>
          <w:szCs w:val="32"/>
        </w:rPr>
        <w:t>得分</w:t>
      </w:r>
      <w:r>
        <w:rPr>
          <w:rFonts w:hint="eastAsia" w:ascii="Times New Roman" w:eastAsia="仿宋_GB2312"/>
          <w:color w:val="auto"/>
          <w:sz w:val="32"/>
          <w:szCs w:val="32"/>
          <w:lang w:val="en-US" w:eastAsia="zh-CN"/>
        </w:rPr>
        <w:t>20</w:t>
      </w:r>
      <w:r>
        <w:rPr>
          <w:rFonts w:ascii="Times New Roman" w:eastAsia="仿宋_GB2312"/>
          <w:color w:val="auto"/>
          <w:sz w:val="32"/>
          <w:szCs w:val="32"/>
        </w:rPr>
        <w:t>分。</w:t>
      </w:r>
    </w:p>
    <w:p>
      <w:pPr>
        <w:widowControl/>
        <w:spacing w:line="600" w:lineRule="exact"/>
        <w:ind w:right="-283"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三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）效益指标（满分30分，实得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30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</w:t>
      </w:r>
      <w:r>
        <w:rPr>
          <w:rFonts w:ascii="Times New Roman" w:hAnsi="Times New Roman" w:eastAsia="仿宋_GB2312"/>
          <w:color w:val="000000"/>
          <w:sz w:val="32"/>
          <w:szCs w:val="32"/>
        </w:rPr>
        <w:t>.社会效益指标（满分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eastAsia="仿宋_GB2312"/>
          <w:color w:val="auto"/>
          <w:sz w:val="32"/>
          <w:szCs w:val="32"/>
        </w:rPr>
        <w:t>年度设定的</w:t>
      </w:r>
      <w:r>
        <w:rPr>
          <w:rFonts w:hint="eastAsia" w:ascii="Times New Roman" w:eastAsia="仿宋_GB2312"/>
          <w:color w:val="auto"/>
          <w:sz w:val="32"/>
          <w:szCs w:val="32"/>
          <w:lang w:val="en-US" w:eastAsia="zh-CN"/>
        </w:rPr>
        <w:t>社会效益指标</w:t>
      </w:r>
      <w:r>
        <w:rPr>
          <w:rFonts w:ascii="Times New Roman" w:eastAsia="仿宋_GB2312"/>
          <w:color w:val="auto"/>
          <w:sz w:val="32"/>
          <w:szCs w:val="32"/>
        </w:rPr>
        <w:t>为</w:t>
      </w:r>
      <w:r>
        <w:rPr>
          <w:rFonts w:hint="eastAsia" w:ascii="Times New Roman" w:eastAsia="仿宋_GB2312"/>
          <w:color w:val="auto"/>
          <w:sz w:val="32"/>
          <w:szCs w:val="32"/>
          <w:lang w:val="en-US" w:eastAsia="zh-CN"/>
        </w:rPr>
        <w:t>保障老年群体基本权益</w:t>
      </w:r>
      <w:r>
        <w:rPr>
          <w:rFonts w:ascii="Times New Roman" w:eastAsia="仿宋_GB2312"/>
          <w:color w:val="auto"/>
          <w:sz w:val="32"/>
          <w:szCs w:val="32"/>
        </w:rPr>
        <w:t>；实际完成情况为</w:t>
      </w:r>
      <w:r>
        <w:rPr>
          <w:rFonts w:hint="eastAsia" w:ascii="Times New Roman" w:eastAsia="仿宋_GB2312"/>
          <w:color w:val="auto"/>
          <w:sz w:val="32"/>
          <w:szCs w:val="32"/>
          <w:lang w:val="en-US" w:eastAsia="zh-CN"/>
        </w:rPr>
        <w:t>效果明显</w:t>
      </w:r>
      <w:r>
        <w:rPr>
          <w:rFonts w:ascii="Times New Roman" w:hAnsi="Times New Roman" w:eastAsia="仿宋_GB2312"/>
          <w:b/>
          <w:color w:val="auto"/>
          <w:sz w:val="32"/>
          <w:szCs w:val="32"/>
        </w:rPr>
        <w:t>，</w:t>
      </w:r>
      <w:r>
        <w:rPr>
          <w:rFonts w:ascii="Times New Roman" w:eastAsia="仿宋_GB2312"/>
          <w:color w:val="auto"/>
          <w:sz w:val="32"/>
          <w:szCs w:val="32"/>
        </w:rPr>
        <w:t>得分</w:t>
      </w:r>
      <w:r>
        <w:rPr>
          <w:rFonts w:hint="eastAsia" w:ascii="Times New Roman" w:eastAsia="仿宋_GB2312"/>
          <w:color w:val="auto"/>
          <w:sz w:val="32"/>
          <w:szCs w:val="32"/>
          <w:lang w:val="en-US" w:eastAsia="zh-CN"/>
        </w:rPr>
        <w:t>15</w:t>
      </w:r>
      <w:r>
        <w:rPr>
          <w:rFonts w:ascii="Times New Roman" w:eastAsia="仿宋_GB2312"/>
          <w:color w:val="auto"/>
          <w:sz w:val="32"/>
          <w:szCs w:val="32"/>
        </w:rPr>
        <w:t>分。</w:t>
      </w:r>
    </w:p>
    <w:p>
      <w:pPr>
        <w:numPr>
          <w:ilvl w:val="0"/>
          <w:numId w:val="1"/>
        </w:num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可持续影响指标（满分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eastAsia="仿宋_GB2312"/>
          <w:color w:val="auto"/>
          <w:sz w:val="32"/>
          <w:szCs w:val="32"/>
        </w:rPr>
        <w:t>年度设定的</w:t>
      </w:r>
      <w:r>
        <w:rPr>
          <w:rFonts w:hint="eastAsia" w:ascii="Times New Roman" w:eastAsia="仿宋_GB2312"/>
          <w:color w:val="auto"/>
          <w:sz w:val="32"/>
          <w:szCs w:val="32"/>
          <w:lang w:val="en-US" w:eastAsia="zh-CN"/>
        </w:rPr>
        <w:t>可持续影响指标</w:t>
      </w:r>
      <w:r>
        <w:rPr>
          <w:rFonts w:ascii="Times New Roman" w:eastAsia="仿宋_GB2312"/>
          <w:color w:val="auto"/>
          <w:sz w:val="32"/>
          <w:szCs w:val="32"/>
        </w:rPr>
        <w:t>为</w:t>
      </w:r>
      <w:r>
        <w:rPr>
          <w:rFonts w:hint="eastAsia" w:ascii="Times New Roman" w:eastAsia="仿宋_GB2312"/>
          <w:color w:val="auto"/>
          <w:sz w:val="32"/>
          <w:szCs w:val="32"/>
          <w:lang w:val="en-US" w:eastAsia="zh-CN"/>
        </w:rPr>
        <w:t>提高养老政策覆盖率</w:t>
      </w:r>
      <w:r>
        <w:rPr>
          <w:rFonts w:ascii="Times New Roman" w:eastAsia="仿宋_GB2312"/>
          <w:color w:val="auto"/>
          <w:sz w:val="32"/>
          <w:szCs w:val="32"/>
        </w:rPr>
        <w:t>；实际完成情况为</w:t>
      </w:r>
      <w:r>
        <w:rPr>
          <w:rFonts w:hint="eastAsia" w:ascii="Times New Roman" w:eastAsia="仿宋_GB2312"/>
          <w:color w:val="auto"/>
          <w:sz w:val="32"/>
          <w:szCs w:val="32"/>
          <w:lang w:val="en-US" w:eastAsia="zh-CN"/>
        </w:rPr>
        <w:t>影响较好</w:t>
      </w:r>
      <w:r>
        <w:rPr>
          <w:rFonts w:ascii="Times New Roman" w:hAnsi="Times New Roman" w:eastAsia="仿宋_GB2312"/>
          <w:b/>
          <w:color w:val="auto"/>
          <w:sz w:val="32"/>
          <w:szCs w:val="32"/>
        </w:rPr>
        <w:t>，</w:t>
      </w:r>
      <w:r>
        <w:rPr>
          <w:rFonts w:ascii="Times New Roman" w:eastAsia="仿宋_GB2312"/>
          <w:color w:val="auto"/>
          <w:sz w:val="32"/>
          <w:szCs w:val="32"/>
        </w:rPr>
        <w:t>得分</w:t>
      </w:r>
      <w:r>
        <w:rPr>
          <w:rFonts w:hint="eastAsia" w:ascii="Times New Roman" w:eastAsia="仿宋_GB2312"/>
          <w:color w:val="auto"/>
          <w:sz w:val="32"/>
          <w:szCs w:val="32"/>
          <w:lang w:val="en-US" w:eastAsia="zh-CN"/>
        </w:rPr>
        <w:t>15</w:t>
      </w:r>
      <w:r>
        <w:rPr>
          <w:rFonts w:ascii="Times New Roman" w:eastAsia="仿宋_GB2312"/>
          <w:color w:val="auto"/>
          <w:sz w:val="32"/>
          <w:szCs w:val="32"/>
        </w:rPr>
        <w:t>分。</w:t>
      </w:r>
    </w:p>
    <w:p>
      <w:pPr>
        <w:spacing w:line="600" w:lineRule="exact"/>
        <w:ind w:right="-283" w:firstLine="643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四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满意度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指标（满分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满意度</w:t>
      </w:r>
      <w:r>
        <w:rPr>
          <w:rFonts w:ascii="Times New Roman" w:hAnsi="Times New Roman" w:eastAsia="仿宋_GB2312"/>
          <w:color w:val="000000"/>
          <w:sz w:val="32"/>
          <w:szCs w:val="32"/>
        </w:rPr>
        <w:t>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eastAsia="仿宋_GB2312"/>
          <w:color w:val="auto"/>
          <w:sz w:val="32"/>
          <w:szCs w:val="32"/>
        </w:rPr>
        <w:t>年度设定的时效指标为</w:t>
      </w:r>
      <w:r>
        <w:rPr>
          <w:rFonts w:hint="eastAsia" w:ascii="Times New Roman" w:eastAsia="仿宋_GB2312"/>
          <w:color w:val="auto"/>
          <w:sz w:val="32"/>
          <w:szCs w:val="32"/>
        </w:rPr>
        <w:t>服务对象满意度</w:t>
      </w:r>
      <w:r>
        <w:rPr>
          <w:rFonts w:ascii="Times New Roman" w:eastAsia="仿宋_GB2312"/>
          <w:color w:val="auto"/>
          <w:sz w:val="32"/>
          <w:szCs w:val="32"/>
        </w:rPr>
        <w:t>；实际完成情况为</w:t>
      </w:r>
      <w:r>
        <w:rPr>
          <w:rFonts w:hint="eastAsia" w:ascii="Times New Roman" w:eastAsia="仿宋_GB2312"/>
          <w:color w:val="auto"/>
          <w:sz w:val="32"/>
          <w:szCs w:val="32"/>
        </w:rPr>
        <w:t>≥9</w:t>
      </w:r>
      <w:r>
        <w:rPr>
          <w:rFonts w:hint="eastAsia" w:ascii="Times New Roman" w:eastAsia="仿宋_GB2312"/>
          <w:color w:val="auto"/>
          <w:sz w:val="32"/>
          <w:szCs w:val="32"/>
          <w:lang w:val="en-US" w:eastAsia="zh-CN"/>
        </w:rPr>
        <w:t>7</w:t>
      </w:r>
      <w:r>
        <w:rPr>
          <w:rFonts w:hint="eastAsia" w:ascii="Times New Roman" w:eastAsia="仿宋_GB2312"/>
          <w:color w:val="auto"/>
          <w:sz w:val="32"/>
          <w:szCs w:val="32"/>
        </w:rPr>
        <w:t>%</w:t>
      </w:r>
      <w:r>
        <w:rPr>
          <w:rFonts w:ascii="Times New Roman" w:hAnsi="Times New Roman" w:eastAsia="仿宋_GB2312"/>
          <w:b/>
          <w:color w:val="auto"/>
          <w:sz w:val="32"/>
          <w:szCs w:val="32"/>
        </w:rPr>
        <w:t>，</w:t>
      </w:r>
      <w:r>
        <w:rPr>
          <w:rFonts w:ascii="Times New Roman" w:eastAsia="仿宋_GB2312"/>
          <w:color w:val="auto"/>
          <w:sz w:val="32"/>
          <w:szCs w:val="32"/>
        </w:rPr>
        <w:t>得分</w:t>
      </w:r>
      <w:r>
        <w:rPr>
          <w:rFonts w:hint="eastAsia" w:ascii="Times New Roman" w:eastAsia="仿宋_GB2312"/>
          <w:color w:val="auto"/>
          <w:sz w:val="32"/>
          <w:szCs w:val="32"/>
        </w:rPr>
        <w:t>10</w:t>
      </w:r>
      <w:r>
        <w:rPr>
          <w:rFonts w:ascii="Times New Roman" w:eastAsia="仿宋_GB2312"/>
          <w:color w:val="auto"/>
          <w:sz w:val="32"/>
          <w:szCs w:val="32"/>
        </w:rPr>
        <w:t>分。</w:t>
      </w:r>
    </w:p>
    <w:p>
      <w:pPr>
        <w:numPr>
          <w:ilvl w:val="0"/>
          <w:numId w:val="2"/>
        </w:num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存在问题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hint="eastAsia" w:ascii="Times New Roman" w:eastAsia="仿宋_GB2312" w:hAnsiTheme="minorHAnsi" w:cstheme="minorBidi"/>
          <w:color w:val="000000"/>
          <w:kern w:val="2"/>
          <w:sz w:val="32"/>
          <w:szCs w:val="32"/>
          <w:lang w:val="en-US" w:eastAsia="zh-CN" w:bidi="ar-SA"/>
        </w:rPr>
        <w:t>宣传方式不够丰富</w:t>
      </w:r>
      <w:r>
        <w:rPr>
          <w:rFonts w:hint="eastAsia" w:ascii="Times New Roman" w:eastAsia="仿宋_GB2312" w:cstheme="minorBidi"/>
          <w:color w:val="000000"/>
          <w:kern w:val="2"/>
          <w:sz w:val="32"/>
          <w:szCs w:val="32"/>
          <w:lang w:val="en-US" w:eastAsia="zh-CN" w:bidi="ar-SA"/>
        </w:rPr>
        <w:t>，</w:t>
      </w:r>
      <w:r>
        <w:rPr>
          <w:rFonts w:hint="eastAsia" w:ascii="Times New Roman" w:eastAsia="仿宋_GB2312" w:hAnsiTheme="minorHAnsi" w:cstheme="minorBidi"/>
          <w:color w:val="000000"/>
          <w:kern w:val="2"/>
          <w:sz w:val="32"/>
          <w:szCs w:val="32"/>
          <w:lang w:val="en-US" w:eastAsia="zh-CN" w:bidi="ar-SA"/>
        </w:rPr>
        <w:t>宣传载体不够丰富多样。</w:t>
      </w:r>
    </w:p>
    <w:p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五、意见和建议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为进一步提高专项资金使用效益，针对存在的问题，提出如下建议：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加大宣传力度，结合多种方式的活动为符合条件的老人申报此项目。</w:t>
      </w:r>
    </w:p>
    <w:p>
      <w:pPr>
        <w:widowControl/>
        <w:numPr>
          <w:ilvl w:val="0"/>
          <w:numId w:val="2"/>
        </w:numPr>
        <w:spacing w:line="600" w:lineRule="exact"/>
        <w:ind w:left="0" w:leftChars="0"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hint="eastAsia" w:ascii="Times New Roman" w:hAnsi="Times New Roman" w:eastAsia="黑体"/>
          <w:color w:val="000000"/>
          <w:sz w:val="32"/>
          <w:szCs w:val="32"/>
        </w:rPr>
        <w:t>评价</w:t>
      </w:r>
      <w:r>
        <w:rPr>
          <w:rFonts w:ascii="Times New Roman" w:hAnsi="Times New Roman" w:eastAsia="黑体"/>
          <w:color w:val="000000"/>
          <w:sz w:val="32"/>
          <w:szCs w:val="32"/>
        </w:rPr>
        <w:t>依据</w:t>
      </w:r>
    </w:p>
    <w:p>
      <w:pPr>
        <w:widowControl/>
        <w:numPr>
          <w:ilvl w:val="0"/>
          <w:numId w:val="0"/>
        </w:num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eastAsia="zh-CN"/>
        </w:rPr>
        <w:t>根据《瑶海区推进基本养老服务体系建设实施方案》等文件要求。</w:t>
      </w:r>
    </w:p>
    <w:p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七、附件</w:t>
      </w:r>
    </w:p>
    <w:p>
      <w:pPr>
        <w:spacing w:line="600" w:lineRule="exact"/>
        <w:ind w:firstLine="640" w:firstLineChars="200"/>
        <w:rPr>
          <w:rFonts w:hint="eastAsia" w:ascii="Times New Roman" w:eastAsia="仿宋_GB2312"/>
          <w:color w:val="000000"/>
          <w:sz w:val="32"/>
          <w:szCs w:val="32"/>
          <w:lang w:eastAsia="zh-CN"/>
        </w:rPr>
      </w:pPr>
      <w:r>
        <w:rPr>
          <w:rFonts w:eastAsia="仿宋_GB2312"/>
          <w:color w:val="000000"/>
          <w:sz w:val="32"/>
          <w:szCs w:val="32"/>
        </w:rPr>
        <w:t>1</w:t>
      </w:r>
      <w:r>
        <w:rPr>
          <w:rFonts w:ascii="Times New Roman" w:eastAsia="仿宋_GB2312"/>
          <w:color w:val="000000"/>
          <w:sz w:val="32"/>
          <w:szCs w:val="32"/>
        </w:rPr>
        <w:t>.项目支出绩效自评表（附后）</w:t>
      </w:r>
      <w:r>
        <w:rPr>
          <w:rFonts w:hint="eastAsia" w:ascii="Times New Roman" w:eastAsia="仿宋_GB2312"/>
          <w:color w:val="000000"/>
          <w:sz w:val="32"/>
          <w:szCs w:val="32"/>
          <w:lang w:eastAsia="zh-CN"/>
        </w:rPr>
        <w:t>。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431"/>
        <w:gridCol w:w="789"/>
        <w:gridCol w:w="854"/>
        <w:gridCol w:w="739"/>
        <w:gridCol w:w="646"/>
        <w:gridCol w:w="646"/>
        <w:gridCol w:w="932"/>
        <w:gridCol w:w="719"/>
        <w:gridCol w:w="901"/>
        <w:gridCol w:w="127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 xml:space="preserve">       项目支出绩效自评表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（2024年度）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85" w:type="pct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100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3990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2024_老年人福利补贴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100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主管部门</w:t>
            </w:r>
          </w:p>
        </w:tc>
        <w:tc>
          <w:tcPr>
            <w:tcW w:w="196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051-合肥市瑶海区胜利路街道办事处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实施单位</w:t>
            </w:r>
          </w:p>
        </w:tc>
        <w:tc>
          <w:tcPr>
            <w:tcW w:w="154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051001-合肥市瑶海区胜利路街道办事处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1009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项目资金                    （万元）</w:t>
            </w:r>
          </w:p>
        </w:tc>
        <w:tc>
          <w:tcPr>
            <w:tcW w:w="106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年初预算数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全年预算数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全年执行数</w:t>
            </w:r>
          </w:p>
        </w:tc>
        <w:tc>
          <w:tcPr>
            <w:tcW w:w="3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分值 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执行率</w:t>
            </w:r>
          </w:p>
        </w:tc>
        <w:tc>
          <w:tcPr>
            <w:tcW w:w="6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1009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年度资金总额：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100.56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100.56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100.56</w:t>
            </w:r>
          </w:p>
        </w:tc>
        <w:tc>
          <w:tcPr>
            <w:tcW w:w="3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100.00%</w:t>
            </w:r>
          </w:p>
        </w:tc>
        <w:tc>
          <w:tcPr>
            <w:tcW w:w="6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1009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其中：本年财政拨款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100.56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100.56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100.56</w:t>
            </w:r>
          </w:p>
        </w:tc>
        <w:tc>
          <w:tcPr>
            <w:tcW w:w="3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—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1009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上年结转资金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0.00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0.00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0.00</w:t>
            </w:r>
          </w:p>
        </w:tc>
        <w:tc>
          <w:tcPr>
            <w:tcW w:w="3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—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1009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2" w:type="pct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         其他资金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0.00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0.00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0.00</w:t>
            </w:r>
          </w:p>
        </w:tc>
        <w:tc>
          <w:tcPr>
            <w:tcW w:w="3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—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28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年度总体目标</w:t>
            </w:r>
          </w:p>
        </w:tc>
        <w:tc>
          <w:tcPr>
            <w:tcW w:w="269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预期目标</w:t>
            </w:r>
          </w:p>
        </w:tc>
        <w:tc>
          <w:tcPr>
            <w:tcW w:w="2024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实际完成情况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0" w:hRule="atLeast"/>
        </w:trPr>
        <w:tc>
          <w:tcPr>
            <w:tcW w:w="28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9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申请财政资金330万元，主要用于发放80周岁以上老人长寿保健及高龄津贴费用。</w:t>
            </w:r>
          </w:p>
        </w:tc>
        <w:tc>
          <w:tcPr>
            <w:tcW w:w="2024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已完成全年目标任务。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8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绩效指标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一级指标</w:t>
            </w: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二级指标</w:t>
            </w:r>
          </w:p>
        </w:tc>
        <w:tc>
          <w:tcPr>
            <w:tcW w:w="151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三级指标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年度指标值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实际完成值</w:t>
            </w:r>
          </w:p>
        </w:tc>
        <w:tc>
          <w:tcPr>
            <w:tcW w:w="3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分值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得分</w:t>
            </w:r>
          </w:p>
        </w:tc>
        <w:tc>
          <w:tcPr>
            <w:tcW w:w="6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偏差原因分析及改进措施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28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产出指标(50分)</w:t>
            </w: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数量指标</w:t>
            </w:r>
          </w:p>
        </w:tc>
        <w:tc>
          <w:tcPr>
            <w:tcW w:w="151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发放人数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≥1500人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1500</w:t>
            </w:r>
          </w:p>
        </w:tc>
        <w:tc>
          <w:tcPr>
            <w:tcW w:w="3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质量指标</w:t>
            </w:r>
          </w:p>
        </w:tc>
        <w:tc>
          <w:tcPr>
            <w:tcW w:w="151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经费支出合规性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合规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达成预期指标</w:t>
            </w:r>
          </w:p>
        </w:tc>
        <w:tc>
          <w:tcPr>
            <w:tcW w:w="3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时效指标</w:t>
            </w:r>
          </w:p>
        </w:tc>
        <w:tc>
          <w:tcPr>
            <w:tcW w:w="151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经费支出时效性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2024年12月底前完成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达成预期指标</w:t>
            </w:r>
          </w:p>
        </w:tc>
        <w:tc>
          <w:tcPr>
            <w:tcW w:w="3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成本指标</w:t>
            </w:r>
          </w:p>
        </w:tc>
        <w:tc>
          <w:tcPr>
            <w:tcW w:w="151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项目总成本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＝330万元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100.56</w:t>
            </w:r>
          </w:p>
        </w:tc>
        <w:tc>
          <w:tcPr>
            <w:tcW w:w="3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6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28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效益指标(30分)</w:t>
            </w: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经济效益指标</w:t>
            </w:r>
          </w:p>
        </w:tc>
        <w:tc>
          <w:tcPr>
            <w:tcW w:w="151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本指标不适用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不适用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不适用</w:t>
            </w:r>
          </w:p>
        </w:tc>
        <w:tc>
          <w:tcPr>
            <w:tcW w:w="3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6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社会效益指标</w:t>
            </w:r>
          </w:p>
        </w:tc>
        <w:tc>
          <w:tcPr>
            <w:tcW w:w="151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保障老年群体基本权益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效果明显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达成预期指标</w:t>
            </w:r>
          </w:p>
        </w:tc>
        <w:tc>
          <w:tcPr>
            <w:tcW w:w="3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6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生态效益指标</w:t>
            </w:r>
          </w:p>
        </w:tc>
        <w:tc>
          <w:tcPr>
            <w:tcW w:w="151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指标不适用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不适用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不适用</w:t>
            </w:r>
          </w:p>
        </w:tc>
        <w:tc>
          <w:tcPr>
            <w:tcW w:w="3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6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8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可持续影响指标</w:t>
            </w:r>
          </w:p>
        </w:tc>
        <w:tc>
          <w:tcPr>
            <w:tcW w:w="151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提高养老政策覆盖率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影响较好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达成预期指标</w:t>
            </w:r>
          </w:p>
        </w:tc>
        <w:tc>
          <w:tcPr>
            <w:tcW w:w="3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6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28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满意度指标(10分)</w:t>
            </w: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满意度指标</w:t>
            </w:r>
          </w:p>
        </w:tc>
        <w:tc>
          <w:tcPr>
            <w:tcW w:w="151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服务对象满意度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≥97%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3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2975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总分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100.00</w:t>
            </w:r>
          </w:p>
        </w:tc>
        <w:tc>
          <w:tcPr>
            <w:tcW w:w="6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bookmarkEnd w:id="0"/>
    </w:tbl>
    <w:p>
      <w:pPr>
        <w:widowControl/>
        <w:jc w:val="left"/>
      </w:pP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280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</w:t>
    </w:r>
    <w:r>
      <w:rPr>
        <w:rFonts w:ascii="宋体" w:hAnsi="宋体"/>
        <w:sz w:val="28"/>
        <w:szCs w:val="28"/>
      </w:rPr>
      <w:fldChar w:fldCharType="end"/>
    </w:r>
  </w:p>
  <w:p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rPr>
        <w:rFonts w:ascii="宋体" w:hAnsi="宋体"/>
        <w:sz w:val="28"/>
        <w:szCs w:val="28"/>
      </w:rPr>
    </w:pPr>
    <w:r>
      <w:rPr>
        <w:rFonts w:hint="eastAsia" w:ascii="宋体" w:hAnsi="宋体"/>
        <w:sz w:val="28"/>
        <w:szCs w:val="28"/>
      </w:rPr>
      <w:t xml:space="preserve">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4 -</w:t>
    </w:r>
    <w:r>
      <w:rPr>
        <w:rFonts w:ascii="宋体" w:hAnsi="宋体"/>
        <w:sz w:val="28"/>
        <w:szCs w:val="28"/>
      </w:rPr>
      <w:fldChar w:fldCharType="end"/>
    </w:r>
  </w:p>
  <w:p>
    <w:pPr>
      <w:pStyle w:val="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EABC67"/>
    <w:multiLevelType w:val="singleLevel"/>
    <w:tmpl w:val="98EABC67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A47023BE"/>
    <w:multiLevelType w:val="singleLevel"/>
    <w:tmpl w:val="A47023BE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M0ODZjNDYxZDk5NDY2NDIyOGYyN2U1NzQwZjdhMjAifQ=="/>
  </w:docVars>
  <w:rsids>
    <w:rsidRoot w:val="00192156"/>
    <w:rsid w:val="0000272A"/>
    <w:rsid w:val="000074DB"/>
    <w:rsid w:val="000101D3"/>
    <w:rsid w:val="000215E7"/>
    <w:rsid w:val="00024B78"/>
    <w:rsid w:val="000333B7"/>
    <w:rsid w:val="000369D0"/>
    <w:rsid w:val="00045A25"/>
    <w:rsid w:val="000466BE"/>
    <w:rsid w:val="00050B99"/>
    <w:rsid w:val="000521A2"/>
    <w:rsid w:val="00060E82"/>
    <w:rsid w:val="000618D5"/>
    <w:rsid w:val="00071A73"/>
    <w:rsid w:val="00087AD9"/>
    <w:rsid w:val="000921B9"/>
    <w:rsid w:val="00094DDF"/>
    <w:rsid w:val="00096024"/>
    <w:rsid w:val="00096BEA"/>
    <w:rsid w:val="000A060D"/>
    <w:rsid w:val="000A0BD2"/>
    <w:rsid w:val="000A2B01"/>
    <w:rsid w:val="000A3270"/>
    <w:rsid w:val="000B05BB"/>
    <w:rsid w:val="000B24DC"/>
    <w:rsid w:val="000C07BA"/>
    <w:rsid w:val="000C3815"/>
    <w:rsid w:val="000C3EFC"/>
    <w:rsid w:val="000C6717"/>
    <w:rsid w:val="000D56B4"/>
    <w:rsid w:val="000E18F6"/>
    <w:rsid w:val="000F77CE"/>
    <w:rsid w:val="001004CC"/>
    <w:rsid w:val="00100BCA"/>
    <w:rsid w:val="001018B2"/>
    <w:rsid w:val="00110A25"/>
    <w:rsid w:val="00111B1D"/>
    <w:rsid w:val="00125A14"/>
    <w:rsid w:val="00130D97"/>
    <w:rsid w:val="00136701"/>
    <w:rsid w:val="00136886"/>
    <w:rsid w:val="001415D0"/>
    <w:rsid w:val="00142159"/>
    <w:rsid w:val="00150D36"/>
    <w:rsid w:val="001536B6"/>
    <w:rsid w:val="001620B3"/>
    <w:rsid w:val="00165688"/>
    <w:rsid w:val="00170D4C"/>
    <w:rsid w:val="001734CA"/>
    <w:rsid w:val="00174CDA"/>
    <w:rsid w:val="0017600E"/>
    <w:rsid w:val="00181564"/>
    <w:rsid w:val="00181FC4"/>
    <w:rsid w:val="00184AD9"/>
    <w:rsid w:val="0019017C"/>
    <w:rsid w:val="00191913"/>
    <w:rsid w:val="00191969"/>
    <w:rsid w:val="00192156"/>
    <w:rsid w:val="00192ACC"/>
    <w:rsid w:val="001940C5"/>
    <w:rsid w:val="001A0A5F"/>
    <w:rsid w:val="001A0D99"/>
    <w:rsid w:val="001A3CC7"/>
    <w:rsid w:val="001A58CB"/>
    <w:rsid w:val="001A5C8B"/>
    <w:rsid w:val="001A694B"/>
    <w:rsid w:val="001C4318"/>
    <w:rsid w:val="001D1E4C"/>
    <w:rsid w:val="001D3226"/>
    <w:rsid w:val="001D4994"/>
    <w:rsid w:val="001D5615"/>
    <w:rsid w:val="001D6B55"/>
    <w:rsid w:val="001E02D9"/>
    <w:rsid w:val="001F1D49"/>
    <w:rsid w:val="001F43A9"/>
    <w:rsid w:val="00204E47"/>
    <w:rsid w:val="002124CD"/>
    <w:rsid w:val="00220B48"/>
    <w:rsid w:val="00225F36"/>
    <w:rsid w:val="00234311"/>
    <w:rsid w:val="00235D77"/>
    <w:rsid w:val="002366F3"/>
    <w:rsid w:val="00237881"/>
    <w:rsid w:val="002422EF"/>
    <w:rsid w:val="00242E8D"/>
    <w:rsid w:val="002508AE"/>
    <w:rsid w:val="002604CF"/>
    <w:rsid w:val="00261501"/>
    <w:rsid w:val="002744D0"/>
    <w:rsid w:val="0029361A"/>
    <w:rsid w:val="002A178C"/>
    <w:rsid w:val="002A2144"/>
    <w:rsid w:val="002B369A"/>
    <w:rsid w:val="002B4F16"/>
    <w:rsid w:val="002C668E"/>
    <w:rsid w:val="002C7793"/>
    <w:rsid w:val="002D275C"/>
    <w:rsid w:val="002D4264"/>
    <w:rsid w:val="002D42FC"/>
    <w:rsid w:val="002D706D"/>
    <w:rsid w:val="002E0890"/>
    <w:rsid w:val="002E0C00"/>
    <w:rsid w:val="002E385F"/>
    <w:rsid w:val="002E5523"/>
    <w:rsid w:val="002F127F"/>
    <w:rsid w:val="003035A5"/>
    <w:rsid w:val="00312D71"/>
    <w:rsid w:val="00313C97"/>
    <w:rsid w:val="003146B2"/>
    <w:rsid w:val="003156F3"/>
    <w:rsid w:val="00315762"/>
    <w:rsid w:val="00320D45"/>
    <w:rsid w:val="00340B74"/>
    <w:rsid w:val="003531EE"/>
    <w:rsid w:val="00361095"/>
    <w:rsid w:val="00363B11"/>
    <w:rsid w:val="003675A0"/>
    <w:rsid w:val="003678D7"/>
    <w:rsid w:val="00371894"/>
    <w:rsid w:val="00371DFA"/>
    <w:rsid w:val="00372401"/>
    <w:rsid w:val="00380174"/>
    <w:rsid w:val="003856EB"/>
    <w:rsid w:val="00387B35"/>
    <w:rsid w:val="003901E3"/>
    <w:rsid w:val="00392656"/>
    <w:rsid w:val="003A49CC"/>
    <w:rsid w:val="003B02B9"/>
    <w:rsid w:val="003B5B2B"/>
    <w:rsid w:val="003B6E6D"/>
    <w:rsid w:val="003B756F"/>
    <w:rsid w:val="003C18CB"/>
    <w:rsid w:val="003C5226"/>
    <w:rsid w:val="003C6FDE"/>
    <w:rsid w:val="003D2AE8"/>
    <w:rsid w:val="003D2CB7"/>
    <w:rsid w:val="003D485F"/>
    <w:rsid w:val="003D4A34"/>
    <w:rsid w:val="003E0F29"/>
    <w:rsid w:val="003E4174"/>
    <w:rsid w:val="003F4B38"/>
    <w:rsid w:val="003F6BFC"/>
    <w:rsid w:val="00404086"/>
    <w:rsid w:val="004076F9"/>
    <w:rsid w:val="00414837"/>
    <w:rsid w:val="004174E4"/>
    <w:rsid w:val="00424B8B"/>
    <w:rsid w:val="00435926"/>
    <w:rsid w:val="004359DB"/>
    <w:rsid w:val="00440DEA"/>
    <w:rsid w:val="00440F97"/>
    <w:rsid w:val="004419E1"/>
    <w:rsid w:val="0044342B"/>
    <w:rsid w:val="004454AB"/>
    <w:rsid w:val="00446658"/>
    <w:rsid w:val="00447963"/>
    <w:rsid w:val="00451915"/>
    <w:rsid w:val="0045354D"/>
    <w:rsid w:val="00454634"/>
    <w:rsid w:val="00454DAA"/>
    <w:rsid w:val="00472677"/>
    <w:rsid w:val="00485168"/>
    <w:rsid w:val="004856D4"/>
    <w:rsid w:val="00495C77"/>
    <w:rsid w:val="004973DF"/>
    <w:rsid w:val="004A0BD6"/>
    <w:rsid w:val="004A1978"/>
    <w:rsid w:val="004A4078"/>
    <w:rsid w:val="004A4AF4"/>
    <w:rsid w:val="004A7640"/>
    <w:rsid w:val="004B1709"/>
    <w:rsid w:val="004B4FEE"/>
    <w:rsid w:val="004B5493"/>
    <w:rsid w:val="004C3A42"/>
    <w:rsid w:val="004D1ABC"/>
    <w:rsid w:val="004D26B9"/>
    <w:rsid w:val="004D40A5"/>
    <w:rsid w:val="004D6527"/>
    <w:rsid w:val="004E1C52"/>
    <w:rsid w:val="004E4A47"/>
    <w:rsid w:val="004E4C61"/>
    <w:rsid w:val="004F4190"/>
    <w:rsid w:val="0051355C"/>
    <w:rsid w:val="00515190"/>
    <w:rsid w:val="005171A0"/>
    <w:rsid w:val="00522049"/>
    <w:rsid w:val="005345A9"/>
    <w:rsid w:val="00535F35"/>
    <w:rsid w:val="005442AC"/>
    <w:rsid w:val="00553264"/>
    <w:rsid w:val="00557D02"/>
    <w:rsid w:val="00560675"/>
    <w:rsid w:val="00560F97"/>
    <w:rsid w:val="00564E0E"/>
    <w:rsid w:val="00570AB0"/>
    <w:rsid w:val="00571627"/>
    <w:rsid w:val="005772D9"/>
    <w:rsid w:val="005848DF"/>
    <w:rsid w:val="0058504B"/>
    <w:rsid w:val="00585324"/>
    <w:rsid w:val="00594322"/>
    <w:rsid w:val="005968DC"/>
    <w:rsid w:val="00597164"/>
    <w:rsid w:val="005A1497"/>
    <w:rsid w:val="005A3389"/>
    <w:rsid w:val="005A3705"/>
    <w:rsid w:val="005B31B8"/>
    <w:rsid w:val="005B6FBE"/>
    <w:rsid w:val="005C40B9"/>
    <w:rsid w:val="005C57DA"/>
    <w:rsid w:val="005D0437"/>
    <w:rsid w:val="005D2B08"/>
    <w:rsid w:val="005D40C0"/>
    <w:rsid w:val="005D654E"/>
    <w:rsid w:val="005D6859"/>
    <w:rsid w:val="005D68D6"/>
    <w:rsid w:val="005E125C"/>
    <w:rsid w:val="005E4262"/>
    <w:rsid w:val="005E55E1"/>
    <w:rsid w:val="005F3419"/>
    <w:rsid w:val="005F3CBA"/>
    <w:rsid w:val="005F5137"/>
    <w:rsid w:val="006355FE"/>
    <w:rsid w:val="00662F34"/>
    <w:rsid w:val="00663774"/>
    <w:rsid w:val="00677348"/>
    <w:rsid w:val="00677646"/>
    <w:rsid w:val="00677834"/>
    <w:rsid w:val="006831EE"/>
    <w:rsid w:val="00685395"/>
    <w:rsid w:val="006948E0"/>
    <w:rsid w:val="006965E7"/>
    <w:rsid w:val="00697520"/>
    <w:rsid w:val="006A14C4"/>
    <w:rsid w:val="006A3FD5"/>
    <w:rsid w:val="006A4236"/>
    <w:rsid w:val="006A45AC"/>
    <w:rsid w:val="006B3063"/>
    <w:rsid w:val="006B46ED"/>
    <w:rsid w:val="006B79CA"/>
    <w:rsid w:val="006B7B07"/>
    <w:rsid w:val="006C0B18"/>
    <w:rsid w:val="006C19E0"/>
    <w:rsid w:val="006C3746"/>
    <w:rsid w:val="006C4310"/>
    <w:rsid w:val="006D502B"/>
    <w:rsid w:val="006D7757"/>
    <w:rsid w:val="006E02E2"/>
    <w:rsid w:val="006E038A"/>
    <w:rsid w:val="006E0AD0"/>
    <w:rsid w:val="006E26BC"/>
    <w:rsid w:val="006E4B18"/>
    <w:rsid w:val="006F22E5"/>
    <w:rsid w:val="006F51A9"/>
    <w:rsid w:val="006F58EC"/>
    <w:rsid w:val="006F695F"/>
    <w:rsid w:val="006F7CAD"/>
    <w:rsid w:val="007000CC"/>
    <w:rsid w:val="00701870"/>
    <w:rsid w:val="00722E7A"/>
    <w:rsid w:val="00735BB1"/>
    <w:rsid w:val="007402AB"/>
    <w:rsid w:val="0074108F"/>
    <w:rsid w:val="00752C25"/>
    <w:rsid w:val="00754E89"/>
    <w:rsid w:val="0075594B"/>
    <w:rsid w:val="00761524"/>
    <w:rsid w:val="00761D96"/>
    <w:rsid w:val="00761E26"/>
    <w:rsid w:val="00767873"/>
    <w:rsid w:val="00767FE9"/>
    <w:rsid w:val="00770481"/>
    <w:rsid w:val="007707B8"/>
    <w:rsid w:val="00776D2C"/>
    <w:rsid w:val="00780B10"/>
    <w:rsid w:val="0078356B"/>
    <w:rsid w:val="00784FB4"/>
    <w:rsid w:val="0079117B"/>
    <w:rsid w:val="0079327B"/>
    <w:rsid w:val="0079799B"/>
    <w:rsid w:val="007A06D9"/>
    <w:rsid w:val="007A090C"/>
    <w:rsid w:val="007A102C"/>
    <w:rsid w:val="007A32A4"/>
    <w:rsid w:val="007A5CDE"/>
    <w:rsid w:val="007A5E2F"/>
    <w:rsid w:val="007B23E7"/>
    <w:rsid w:val="007B4F28"/>
    <w:rsid w:val="007B718E"/>
    <w:rsid w:val="007B7D9A"/>
    <w:rsid w:val="007C2C6A"/>
    <w:rsid w:val="007C3293"/>
    <w:rsid w:val="007C414E"/>
    <w:rsid w:val="007C78D7"/>
    <w:rsid w:val="007D1928"/>
    <w:rsid w:val="007D54F8"/>
    <w:rsid w:val="007D78C2"/>
    <w:rsid w:val="007E2AE4"/>
    <w:rsid w:val="007E67F8"/>
    <w:rsid w:val="007E7F05"/>
    <w:rsid w:val="007F2134"/>
    <w:rsid w:val="007F2698"/>
    <w:rsid w:val="007F5F7E"/>
    <w:rsid w:val="0080213C"/>
    <w:rsid w:val="008031B2"/>
    <w:rsid w:val="00806E3D"/>
    <w:rsid w:val="00807923"/>
    <w:rsid w:val="008134B8"/>
    <w:rsid w:val="008177FE"/>
    <w:rsid w:val="008205EA"/>
    <w:rsid w:val="00820E94"/>
    <w:rsid w:val="00823B83"/>
    <w:rsid w:val="00824785"/>
    <w:rsid w:val="00832AB1"/>
    <w:rsid w:val="00835200"/>
    <w:rsid w:val="00835705"/>
    <w:rsid w:val="00842350"/>
    <w:rsid w:val="00845612"/>
    <w:rsid w:val="00853410"/>
    <w:rsid w:val="00856E3F"/>
    <w:rsid w:val="00857795"/>
    <w:rsid w:val="00867CFD"/>
    <w:rsid w:val="00873446"/>
    <w:rsid w:val="00876C69"/>
    <w:rsid w:val="00881C34"/>
    <w:rsid w:val="00881C4F"/>
    <w:rsid w:val="00890C89"/>
    <w:rsid w:val="008A0412"/>
    <w:rsid w:val="008A10FF"/>
    <w:rsid w:val="008A5F56"/>
    <w:rsid w:val="008B05BA"/>
    <w:rsid w:val="008B24DA"/>
    <w:rsid w:val="008B4131"/>
    <w:rsid w:val="008B4B5B"/>
    <w:rsid w:val="008C59DC"/>
    <w:rsid w:val="008D0D42"/>
    <w:rsid w:val="008D28BC"/>
    <w:rsid w:val="008D5B68"/>
    <w:rsid w:val="008D7C61"/>
    <w:rsid w:val="008E1FE0"/>
    <w:rsid w:val="008E495C"/>
    <w:rsid w:val="008F48A2"/>
    <w:rsid w:val="009065BE"/>
    <w:rsid w:val="00907379"/>
    <w:rsid w:val="00907AA8"/>
    <w:rsid w:val="00910BC3"/>
    <w:rsid w:val="0091165E"/>
    <w:rsid w:val="00911A94"/>
    <w:rsid w:val="009130CE"/>
    <w:rsid w:val="00924F87"/>
    <w:rsid w:val="00927967"/>
    <w:rsid w:val="00931F35"/>
    <w:rsid w:val="00932F06"/>
    <w:rsid w:val="00934E8E"/>
    <w:rsid w:val="00935C4C"/>
    <w:rsid w:val="00936045"/>
    <w:rsid w:val="0094070D"/>
    <w:rsid w:val="00944814"/>
    <w:rsid w:val="0094537C"/>
    <w:rsid w:val="00947C62"/>
    <w:rsid w:val="00951B0E"/>
    <w:rsid w:val="0095617D"/>
    <w:rsid w:val="00957C1C"/>
    <w:rsid w:val="00962DFE"/>
    <w:rsid w:val="0096782D"/>
    <w:rsid w:val="0097214E"/>
    <w:rsid w:val="00977AAC"/>
    <w:rsid w:val="00977C29"/>
    <w:rsid w:val="00983B74"/>
    <w:rsid w:val="009861E0"/>
    <w:rsid w:val="009969DA"/>
    <w:rsid w:val="009A3615"/>
    <w:rsid w:val="009A365D"/>
    <w:rsid w:val="009A77F1"/>
    <w:rsid w:val="009B1385"/>
    <w:rsid w:val="009B1866"/>
    <w:rsid w:val="009C2658"/>
    <w:rsid w:val="009C27D3"/>
    <w:rsid w:val="009C2F66"/>
    <w:rsid w:val="009C3BD3"/>
    <w:rsid w:val="009C7648"/>
    <w:rsid w:val="009D4128"/>
    <w:rsid w:val="009D76CB"/>
    <w:rsid w:val="009F2544"/>
    <w:rsid w:val="009F32A9"/>
    <w:rsid w:val="009F35ED"/>
    <w:rsid w:val="009F4C85"/>
    <w:rsid w:val="009F72A7"/>
    <w:rsid w:val="00A01EE0"/>
    <w:rsid w:val="00A051B8"/>
    <w:rsid w:val="00A06889"/>
    <w:rsid w:val="00A11B4B"/>
    <w:rsid w:val="00A11DD2"/>
    <w:rsid w:val="00A17ADE"/>
    <w:rsid w:val="00A20AEF"/>
    <w:rsid w:val="00A21E90"/>
    <w:rsid w:val="00A2377B"/>
    <w:rsid w:val="00A40563"/>
    <w:rsid w:val="00A42F87"/>
    <w:rsid w:val="00A47824"/>
    <w:rsid w:val="00A54D46"/>
    <w:rsid w:val="00A62D7B"/>
    <w:rsid w:val="00A652B8"/>
    <w:rsid w:val="00A65E7A"/>
    <w:rsid w:val="00A66374"/>
    <w:rsid w:val="00A72594"/>
    <w:rsid w:val="00A760E9"/>
    <w:rsid w:val="00A81393"/>
    <w:rsid w:val="00A843D0"/>
    <w:rsid w:val="00AB036A"/>
    <w:rsid w:val="00AB3763"/>
    <w:rsid w:val="00AD6367"/>
    <w:rsid w:val="00AE0561"/>
    <w:rsid w:val="00AE2143"/>
    <w:rsid w:val="00AE49CA"/>
    <w:rsid w:val="00AE6ADC"/>
    <w:rsid w:val="00AE7672"/>
    <w:rsid w:val="00AF7D29"/>
    <w:rsid w:val="00B042D2"/>
    <w:rsid w:val="00B052BA"/>
    <w:rsid w:val="00B14E30"/>
    <w:rsid w:val="00B161F6"/>
    <w:rsid w:val="00B21D9F"/>
    <w:rsid w:val="00B300D2"/>
    <w:rsid w:val="00B433D1"/>
    <w:rsid w:val="00B45278"/>
    <w:rsid w:val="00B47BE4"/>
    <w:rsid w:val="00B5185E"/>
    <w:rsid w:val="00B607B6"/>
    <w:rsid w:val="00B666F5"/>
    <w:rsid w:val="00B734FE"/>
    <w:rsid w:val="00B76AC0"/>
    <w:rsid w:val="00B8253B"/>
    <w:rsid w:val="00B8783F"/>
    <w:rsid w:val="00B87C65"/>
    <w:rsid w:val="00B91337"/>
    <w:rsid w:val="00B97927"/>
    <w:rsid w:val="00B97CEE"/>
    <w:rsid w:val="00BA5279"/>
    <w:rsid w:val="00BA76C2"/>
    <w:rsid w:val="00BB1245"/>
    <w:rsid w:val="00BB298E"/>
    <w:rsid w:val="00BB73C4"/>
    <w:rsid w:val="00BC24BB"/>
    <w:rsid w:val="00BC6CCB"/>
    <w:rsid w:val="00BC7AA8"/>
    <w:rsid w:val="00BD0690"/>
    <w:rsid w:val="00BD158F"/>
    <w:rsid w:val="00BD3423"/>
    <w:rsid w:val="00BD3BDF"/>
    <w:rsid w:val="00BD710A"/>
    <w:rsid w:val="00BE2410"/>
    <w:rsid w:val="00BE34E9"/>
    <w:rsid w:val="00BE483F"/>
    <w:rsid w:val="00BE61EF"/>
    <w:rsid w:val="00BE6DD0"/>
    <w:rsid w:val="00BE7D69"/>
    <w:rsid w:val="00BF5A3E"/>
    <w:rsid w:val="00C01D7E"/>
    <w:rsid w:val="00C026C4"/>
    <w:rsid w:val="00C04BD1"/>
    <w:rsid w:val="00C06DCA"/>
    <w:rsid w:val="00C1163A"/>
    <w:rsid w:val="00C14858"/>
    <w:rsid w:val="00C17E10"/>
    <w:rsid w:val="00C25820"/>
    <w:rsid w:val="00C36AEA"/>
    <w:rsid w:val="00C50A56"/>
    <w:rsid w:val="00C64664"/>
    <w:rsid w:val="00C666BF"/>
    <w:rsid w:val="00C67850"/>
    <w:rsid w:val="00C7077F"/>
    <w:rsid w:val="00C81FD2"/>
    <w:rsid w:val="00C8454B"/>
    <w:rsid w:val="00C87B9F"/>
    <w:rsid w:val="00C9306D"/>
    <w:rsid w:val="00CB0E8B"/>
    <w:rsid w:val="00CB0FE6"/>
    <w:rsid w:val="00CB2CB4"/>
    <w:rsid w:val="00CB7AAF"/>
    <w:rsid w:val="00CC3CB9"/>
    <w:rsid w:val="00CD48DE"/>
    <w:rsid w:val="00CE385C"/>
    <w:rsid w:val="00CE57DC"/>
    <w:rsid w:val="00CE72E4"/>
    <w:rsid w:val="00CF2D06"/>
    <w:rsid w:val="00CF414E"/>
    <w:rsid w:val="00CF645D"/>
    <w:rsid w:val="00D00BB2"/>
    <w:rsid w:val="00D01D8C"/>
    <w:rsid w:val="00D04DEB"/>
    <w:rsid w:val="00D058E5"/>
    <w:rsid w:val="00D1016B"/>
    <w:rsid w:val="00D131B6"/>
    <w:rsid w:val="00D13985"/>
    <w:rsid w:val="00D163A5"/>
    <w:rsid w:val="00D16413"/>
    <w:rsid w:val="00D204AE"/>
    <w:rsid w:val="00D24532"/>
    <w:rsid w:val="00D24BD9"/>
    <w:rsid w:val="00D355DA"/>
    <w:rsid w:val="00D41C31"/>
    <w:rsid w:val="00D4335B"/>
    <w:rsid w:val="00D462B4"/>
    <w:rsid w:val="00D468DD"/>
    <w:rsid w:val="00D471E3"/>
    <w:rsid w:val="00D47347"/>
    <w:rsid w:val="00D4775B"/>
    <w:rsid w:val="00D525E0"/>
    <w:rsid w:val="00D547F2"/>
    <w:rsid w:val="00D6134E"/>
    <w:rsid w:val="00D65E96"/>
    <w:rsid w:val="00D66E4B"/>
    <w:rsid w:val="00D71FA2"/>
    <w:rsid w:val="00D7444C"/>
    <w:rsid w:val="00D769DD"/>
    <w:rsid w:val="00D83E63"/>
    <w:rsid w:val="00D8556B"/>
    <w:rsid w:val="00D85EEF"/>
    <w:rsid w:val="00D86643"/>
    <w:rsid w:val="00D918E0"/>
    <w:rsid w:val="00D9492B"/>
    <w:rsid w:val="00D94C8F"/>
    <w:rsid w:val="00DA00B7"/>
    <w:rsid w:val="00DA0B12"/>
    <w:rsid w:val="00DA2DB4"/>
    <w:rsid w:val="00DA4411"/>
    <w:rsid w:val="00DA4CDC"/>
    <w:rsid w:val="00DA6DFB"/>
    <w:rsid w:val="00DB028F"/>
    <w:rsid w:val="00DC2FB6"/>
    <w:rsid w:val="00DD0035"/>
    <w:rsid w:val="00DD1FB9"/>
    <w:rsid w:val="00DD515E"/>
    <w:rsid w:val="00DE358A"/>
    <w:rsid w:val="00DF0606"/>
    <w:rsid w:val="00DF2A89"/>
    <w:rsid w:val="00DF42D7"/>
    <w:rsid w:val="00E03BEA"/>
    <w:rsid w:val="00E1797D"/>
    <w:rsid w:val="00E21407"/>
    <w:rsid w:val="00E216D3"/>
    <w:rsid w:val="00E21D70"/>
    <w:rsid w:val="00E24B64"/>
    <w:rsid w:val="00E360E7"/>
    <w:rsid w:val="00E3787E"/>
    <w:rsid w:val="00E43C5C"/>
    <w:rsid w:val="00E46AB6"/>
    <w:rsid w:val="00E54696"/>
    <w:rsid w:val="00E550F4"/>
    <w:rsid w:val="00E56F20"/>
    <w:rsid w:val="00E675BC"/>
    <w:rsid w:val="00E67788"/>
    <w:rsid w:val="00E72083"/>
    <w:rsid w:val="00E735AC"/>
    <w:rsid w:val="00E9257E"/>
    <w:rsid w:val="00E95998"/>
    <w:rsid w:val="00EA06A4"/>
    <w:rsid w:val="00EB77C9"/>
    <w:rsid w:val="00EC7E99"/>
    <w:rsid w:val="00ED5B06"/>
    <w:rsid w:val="00EE003E"/>
    <w:rsid w:val="00EE180A"/>
    <w:rsid w:val="00EE242C"/>
    <w:rsid w:val="00EE301D"/>
    <w:rsid w:val="00EE4D22"/>
    <w:rsid w:val="00EF78BC"/>
    <w:rsid w:val="00F031B3"/>
    <w:rsid w:val="00F068E0"/>
    <w:rsid w:val="00F11311"/>
    <w:rsid w:val="00F12AC9"/>
    <w:rsid w:val="00F13DB6"/>
    <w:rsid w:val="00F168DE"/>
    <w:rsid w:val="00F16DF3"/>
    <w:rsid w:val="00F27FBA"/>
    <w:rsid w:val="00F33D0D"/>
    <w:rsid w:val="00F42C4A"/>
    <w:rsid w:val="00F4495A"/>
    <w:rsid w:val="00F46070"/>
    <w:rsid w:val="00F47D94"/>
    <w:rsid w:val="00F53E48"/>
    <w:rsid w:val="00F61B60"/>
    <w:rsid w:val="00F62210"/>
    <w:rsid w:val="00F67DCF"/>
    <w:rsid w:val="00F835A3"/>
    <w:rsid w:val="00F8480F"/>
    <w:rsid w:val="00FA133C"/>
    <w:rsid w:val="00FA1C4B"/>
    <w:rsid w:val="00FB08F6"/>
    <w:rsid w:val="00FC23C7"/>
    <w:rsid w:val="00FC7560"/>
    <w:rsid w:val="00FD5131"/>
    <w:rsid w:val="00FD5EB9"/>
    <w:rsid w:val="00FE02A9"/>
    <w:rsid w:val="00FE2DAA"/>
    <w:rsid w:val="00FE4D3A"/>
    <w:rsid w:val="00FE721E"/>
    <w:rsid w:val="00FF13A9"/>
    <w:rsid w:val="00FF1A73"/>
    <w:rsid w:val="00FF4300"/>
    <w:rsid w:val="013F4189"/>
    <w:rsid w:val="0A443610"/>
    <w:rsid w:val="0B633415"/>
    <w:rsid w:val="0DDE7041"/>
    <w:rsid w:val="0FE22A47"/>
    <w:rsid w:val="1580063C"/>
    <w:rsid w:val="16F716AA"/>
    <w:rsid w:val="1BD792BA"/>
    <w:rsid w:val="223E7820"/>
    <w:rsid w:val="241A50E9"/>
    <w:rsid w:val="27FA6A3D"/>
    <w:rsid w:val="2EBE24BA"/>
    <w:rsid w:val="2F1B4A9E"/>
    <w:rsid w:val="2FC40521"/>
    <w:rsid w:val="2FFC4CEE"/>
    <w:rsid w:val="30BD4AC6"/>
    <w:rsid w:val="35CD7559"/>
    <w:rsid w:val="39EC3A8B"/>
    <w:rsid w:val="3CFE57A8"/>
    <w:rsid w:val="3D17003D"/>
    <w:rsid w:val="3E4058C1"/>
    <w:rsid w:val="3EB75BFF"/>
    <w:rsid w:val="41FF10FA"/>
    <w:rsid w:val="42733098"/>
    <w:rsid w:val="44C06BEE"/>
    <w:rsid w:val="4B2A6FBC"/>
    <w:rsid w:val="4C2F5143"/>
    <w:rsid w:val="4C5C5856"/>
    <w:rsid w:val="4D07114B"/>
    <w:rsid w:val="538C54FB"/>
    <w:rsid w:val="53A771E4"/>
    <w:rsid w:val="54AB3C68"/>
    <w:rsid w:val="589F492D"/>
    <w:rsid w:val="58AD704A"/>
    <w:rsid w:val="59050C34"/>
    <w:rsid w:val="5B2737C9"/>
    <w:rsid w:val="5C736320"/>
    <w:rsid w:val="5E8F794D"/>
    <w:rsid w:val="5F9C8719"/>
    <w:rsid w:val="5FF43F05"/>
    <w:rsid w:val="64266808"/>
    <w:rsid w:val="65282A4F"/>
    <w:rsid w:val="6CF9529D"/>
    <w:rsid w:val="6D0D5EB2"/>
    <w:rsid w:val="6DF8D820"/>
    <w:rsid w:val="6FED328C"/>
    <w:rsid w:val="709216B9"/>
    <w:rsid w:val="71373859"/>
    <w:rsid w:val="732453BC"/>
    <w:rsid w:val="779BD1C3"/>
    <w:rsid w:val="79CA6B12"/>
    <w:rsid w:val="7BBCDE22"/>
    <w:rsid w:val="7F7D9BD7"/>
    <w:rsid w:val="7FFE9D0A"/>
    <w:rsid w:val="7FFFD1BD"/>
    <w:rsid w:val="9AFFE7AB"/>
    <w:rsid w:val="A3B3654A"/>
    <w:rsid w:val="AFFFF606"/>
    <w:rsid w:val="B7DF99F3"/>
    <w:rsid w:val="D3FF4F83"/>
    <w:rsid w:val="D6C765C5"/>
    <w:rsid w:val="DE7B9CEE"/>
    <w:rsid w:val="F35C17EF"/>
    <w:rsid w:val="F3DEDF06"/>
    <w:rsid w:val="F589066F"/>
    <w:rsid w:val="F5C7AFFE"/>
    <w:rsid w:val="F7CE0DBF"/>
    <w:rsid w:val="FD75544E"/>
    <w:rsid w:val="FDDA0E1A"/>
    <w:rsid w:val="FF5BABE2"/>
    <w:rsid w:val="FFC670E8"/>
    <w:rsid w:val="FFD6E599"/>
    <w:rsid w:val="FFDF5F2A"/>
    <w:rsid w:val="FFF31F54"/>
    <w:rsid w:val="FFFF6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MS Gothic"/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link w:val="20"/>
    <w:qFormat/>
    <w:uiPriority w:val="0"/>
    <w:pPr>
      <w:spacing w:line="560" w:lineRule="atLeast"/>
      <w:ind w:firstLine="567"/>
    </w:pPr>
    <w:rPr>
      <w:rFonts w:asciiTheme="minorHAnsi" w:hAnsiTheme="minorHAnsi" w:eastAsiaTheme="minorEastAsia" w:cstheme="minorBidi"/>
      <w:sz w:val="28"/>
    </w:rPr>
  </w:style>
  <w:style w:type="paragraph" w:styleId="5">
    <w:name w:val="Date"/>
    <w:basedOn w:val="1"/>
    <w:next w:val="1"/>
    <w:link w:val="25"/>
    <w:qFormat/>
    <w:uiPriority w:val="0"/>
    <w:pPr>
      <w:ind w:left="100" w:leftChars="2500"/>
    </w:pPr>
    <w:rPr>
      <w:rFonts w:ascii="Times New Roman" w:hAnsi="Times New Roman"/>
      <w:szCs w:val="24"/>
    </w:rPr>
  </w:style>
  <w:style w:type="paragraph" w:styleId="6">
    <w:name w:val="Balloon Text"/>
    <w:basedOn w:val="1"/>
    <w:link w:val="24"/>
    <w:unhideWhenUsed/>
    <w:qFormat/>
    <w:uiPriority w:val="99"/>
    <w:rPr>
      <w:rFonts w:ascii="Times New Roman" w:hAnsi="Times New Roman"/>
      <w:sz w:val="18"/>
      <w:szCs w:val="18"/>
      <w:lang w:val="zh-CN" w:eastAsia="zh-CN"/>
    </w:rPr>
  </w:style>
  <w:style w:type="paragraph" w:styleId="7">
    <w:name w:val="footer"/>
    <w:basedOn w:val="1"/>
    <w:link w:val="17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8">
    <w:name w:val="header"/>
    <w:basedOn w:val="1"/>
    <w:link w:val="1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paragraph" w:styleId="9">
    <w:name w:val="toc 1"/>
    <w:basedOn w:val="1"/>
    <w:next w:val="1"/>
    <w:qFormat/>
    <w:uiPriority w:val="0"/>
    <w:pPr>
      <w:tabs>
        <w:tab w:val="right" w:leader="dot" w:pos="9135"/>
      </w:tabs>
      <w:spacing w:line="480" w:lineRule="auto"/>
      <w:ind w:left="105" w:leftChars="50"/>
      <w:jc w:val="center"/>
    </w:pPr>
    <w:rPr>
      <w:rFonts w:ascii="黑体" w:hAnsi="宋体" w:eastAsia="黑体" w:cs="宋体"/>
      <w:color w:val="000000"/>
      <w:kern w:val="0"/>
      <w:sz w:val="32"/>
      <w:szCs w:val="32"/>
    </w:rPr>
  </w:style>
  <w:style w:type="paragraph" w:styleId="10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12">
    <w:name w:val="Table Grid"/>
    <w:basedOn w:val="11"/>
    <w:qFormat/>
    <w:uiPriority w:val="59"/>
    <w:rPr>
      <w:rFonts w:ascii="Calibri" w:hAnsi="Calibri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page number"/>
    <w:basedOn w:val="13"/>
    <w:qFormat/>
    <w:uiPriority w:val="0"/>
  </w:style>
  <w:style w:type="character" w:styleId="15">
    <w:name w:val="Hyperlink"/>
    <w:qFormat/>
    <w:uiPriority w:val="0"/>
    <w:rPr>
      <w:color w:val="0000FF"/>
      <w:u w:val="single"/>
    </w:rPr>
  </w:style>
  <w:style w:type="character" w:customStyle="1" w:styleId="16">
    <w:name w:val="标题 1 Char"/>
    <w:basedOn w:val="13"/>
    <w:link w:val="2"/>
    <w:qFormat/>
    <w:uiPriority w:val="0"/>
    <w:rPr>
      <w:rFonts w:ascii="Times New Roman" w:hAnsi="Times New Roman" w:eastAsia="MS Gothic" w:cs="Times New Roman"/>
      <w:b/>
      <w:bCs/>
      <w:kern w:val="44"/>
      <w:sz w:val="44"/>
      <w:szCs w:val="44"/>
      <w:lang w:val="zh-CN" w:eastAsia="zh-CN"/>
    </w:rPr>
  </w:style>
  <w:style w:type="character" w:customStyle="1" w:styleId="17">
    <w:name w:val="页脚 Char"/>
    <w:basedOn w:val="13"/>
    <w:link w:val="7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8">
    <w:name w:val="页眉 Char"/>
    <w:basedOn w:val="13"/>
    <w:link w:val="8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页脚 Char Char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正文缩进 Char"/>
    <w:link w:val="4"/>
    <w:qFormat/>
    <w:uiPriority w:val="0"/>
    <w:rPr>
      <w:sz w:val="28"/>
    </w:rPr>
  </w:style>
  <w:style w:type="character" w:customStyle="1" w:styleId="21">
    <w:name w:val="正文啊 Char Char"/>
    <w:link w:val="22"/>
    <w:qFormat/>
    <w:uiPriority w:val="0"/>
    <w:rPr>
      <w:rFonts w:ascii="仿宋_GB2312" w:hAnsi="宋体" w:eastAsia="仿宋_GB2312"/>
      <w:bCs/>
      <w:sz w:val="30"/>
      <w:szCs w:val="30"/>
    </w:rPr>
  </w:style>
  <w:style w:type="paragraph" w:customStyle="1" w:styleId="22">
    <w:name w:val="正文啊"/>
    <w:basedOn w:val="1"/>
    <w:link w:val="21"/>
    <w:qFormat/>
    <w:uiPriority w:val="0"/>
    <w:pPr>
      <w:spacing w:line="560" w:lineRule="exact"/>
      <w:ind w:firstLine="600" w:firstLineChars="200"/>
    </w:pPr>
    <w:rPr>
      <w:rFonts w:ascii="仿宋_GB2312" w:hAnsi="宋体" w:eastAsia="仿宋_GB2312" w:cstheme="minorBidi"/>
      <w:bCs/>
      <w:sz w:val="30"/>
      <w:szCs w:val="30"/>
    </w:rPr>
  </w:style>
  <w:style w:type="paragraph" w:customStyle="1" w:styleId="23">
    <w:name w:val="Char"/>
    <w:basedOn w:val="1"/>
    <w:next w:val="1"/>
    <w:qFormat/>
    <w:uiPriority w:val="0"/>
    <w:pPr>
      <w:widowControl/>
      <w:spacing w:line="360" w:lineRule="auto"/>
      <w:jc w:val="left"/>
    </w:pPr>
    <w:rPr>
      <w:rFonts w:ascii="Times New Roman" w:hAnsi="Times New Roman"/>
      <w:kern w:val="0"/>
      <w:szCs w:val="20"/>
      <w:lang w:eastAsia="en-US"/>
    </w:rPr>
  </w:style>
  <w:style w:type="character" w:customStyle="1" w:styleId="24">
    <w:name w:val="批注框文本 Char"/>
    <w:basedOn w:val="13"/>
    <w:link w:val="6"/>
    <w:qFormat/>
    <w:uiPriority w:val="99"/>
    <w:rPr>
      <w:rFonts w:ascii="Times New Roman" w:hAnsi="Times New Roman" w:eastAsia="宋体" w:cs="Times New Roman"/>
      <w:sz w:val="18"/>
      <w:szCs w:val="18"/>
      <w:lang w:val="zh-CN" w:eastAsia="zh-CN"/>
    </w:rPr>
  </w:style>
  <w:style w:type="character" w:customStyle="1" w:styleId="25">
    <w:name w:val="日期 Char"/>
    <w:basedOn w:val="13"/>
    <w:link w:val="5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26">
    <w:name w:val="Default Paragraph Char Char Char Char"/>
    <w:basedOn w:val="1"/>
    <w:next w:val="1"/>
    <w:qFormat/>
    <w:uiPriority w:val="0"/>
    <w:pPr>
      <w:widowControl/>
      <w:spacing w:line="360" w:lineRule="auto"/>
      <w:jc w:val="center"/>
    </w:pPr>
    <w:rPr>
      <w:rFonts w:ascii="Times New Roman" w:hAnsi="Times New Roman" w:eastAsia="方正小标宋简体"/>
      <w:kern w:val="0"/>
      <w:sz w:val="44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1224</Words>
  <Characters>1336</Characters>
  <Lines>102</Lines>
  <Paragraphs>28</Paragraphs>
  <TotalTime>7</TotalTime>
  <ScaleCrop>false</ScaleCrop>
  <LinksUpToDate>false</LinksUpToDate>
  <CharactersWithSpaces>1480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2020-12-26T02:41:00Z</dcterms:created>
  <dc:creator>王焱</dc:creator>
  <cp:lastModifiedBy>时光正好</cp:lastModifiedBy>
  <cp:lastPrinted>2025-03-11T02:59:00Z</cp:lastPrinted>
  <dcterms:modified xsi:type="dcterms:W3CDTF">2025-09-02T03:03:09Z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926BECA4B6E441049D814C1788988482_13</vt:lpwstr>
  </property>
  <property fmtid="{D5CDD505-2E9C-101B-9397-08002B2CF9AE}" pid="4" name="KSOTemplateDocerSaveRecord">
    <vt:lpwstr>eyJoZGlkIjoiNzhkN2EzYjZmNDg1OTM0ODVkNDg1YWRkMDdhY2VjOTIiLCJ1c2VySWQiOiIzMzg5ODgyOTYifQ==</vt:lpwstr>
  </property>
</Properties>
</file>