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92847">
      <w:pPr>
        <w:keepNext w:val="0"/>
        <w:keepLines w:val="0"/>
        <w:pageBreakBefore w:val="0"/>
        <w:wordWrap/>
        <w:overflowPunct/>
        <w:topLinePunct w:val="0"/>
        <w:bidi w:val="0"/>
        <w:spacing w:line="560" w:lineRule="exact"/>
        <w:jc w:val="center"/>
        <w:rPr>
          <w:rFonts w:hint="eastAsia" w:ascii="方正小标宋简体" w:hAnsi="宋体" w:eastAsia="方正小标宋简体" w:cstheme="minorBidi"/>
          <w:b w:val="0"/>
          <w:bCs w:val="0"/>
          <w:w w:val="95"/>
          <w:kern w:val="2"/>
          <w:sz w:val="44"/>
          <w:szCs w:val="44"/>
          <w:lang w:val="en-US" w:eastAsia="zh-CN" w:bidi="ar-SA"/>
        </w:rPr>
      </w:pPr>
      <w:bookmarkStart w:id="1" w:name="_GoBack"/>
      <w:bookmarkEnd w:id="1"/>
      <w:r>
        <w:rPr>
          <w:rFonts w:hint="eastAsia" w:ascii="方正小标宋简体" w:hAnsi="宋体" w:eastAsia="方正小标宋简体" w:cstheme="minorBidi"/>
          <w:b w:val="0"/>
          <w:bCs w:val="0"/>
          <w:w w:val="95"/>
          <w:kern w:val="2"/>
          <w:sz w:val="44"/>
          <w:szCs w:val="44"/>
          <w:lang w:val="en-US" w:eastAsia="zh-CN" w:bidi="ar-SA"/>
        </w:rPr>
        <w:t>瑶海安徽皖信人力资源管理有限公司</w:t>
      </w:r>
    </w:p>
    <w:p w14:paraId="14C4BD9B">
      <w:pPr>
        <w:keepNext w:val="0"/>
        <w:keepLines w:val="0"/>
        <w:pageBreakBefore w:val="0"/>
        <w:wordWrap/>
        <w:overflowPunct/>
        <w:topLinePunct w:val="0"/>
        <w:bidi w:val="0"/>
        <w:spacing w:line="560" w:lineRule="exact"/>
        <w:jc w:val="center"/>
        <w:rPr>
          <w:rFonts w:hint="eastAsia" w:ascii="方正小标宋简体" w:hAnsi="方正小标宋简体" w:eastAsia="方正小标宋简体" w:cs="方正小标宋简体"/>
          <w:sz w:val="44"/>
          <w:szCs w:val="44"/>
          <w:lang w:eastAsia="zh-CN"/>
        </w:rPr>
      </w:pPr>
      <w:r>
        <w:rPr>
          <w:rFonts w:hint="eastAsia" w:ascii="方正小标宋简体" w:hAnsi="宋体" w:eastAsia="方正小标宋简体" w:cstheme="minorBidi"/>
          <w:b w:val="0"/>
          <w:bCs w:val="0"/>
          <w:w w:val="95"/>
          <w:kern w:val="2"/>
          <w:sz w:val="44"/>
          <w:szCs w:val="44"/>
          <w:lang w:val="en-US" w:eastAsia="zh-CN" w:bidi="ar-SA"/>
        </w:rPr>
        <w:t>“12•28”一般高处坠落事故</w:t>
      </w:r>
      <w:r>
        <w:rPr>
          <w:rFonts w:hint="eastAsia" w:ascii="方正小标宋简体" w:hAnsi="方正小标宋简体" w:eastAsia="方正小标宋简体" w:cs="方正小标宋简体"/>
          <w:sz w:val="44"/>
          <w:szCs w:val="44"/>
        </w:rPr>
        <w:t>整改措施落实</w:t>
      </w:r>
      <w:r>
        <w:rPr>
          <w:rFonts w:hint="eastAsia" w:ascii="方正小标宋简体" w:hAnsi="方正小标宋简体" w:eastAsia="方正小标宋简体" w:cs="方正小标宋简体"/>
          <w:sz w:val="44"/>
          <w:szCs w:val="44"/>
          <w:lang w:eastAsia="zh-CN"/>
        </w:rPr>
        <w:t>情</w:t>
      </w:r>
    </w:p>
    <w:p w14:paraId="60A8847E">
      <w:pPr>
        <w:keepNext w:val="0"/>
        <w:keepLines w:val="0"/>
        <w:pageBreakBefore w:val="0"/>
        <w:wordWrap/>
        <w:overflowPunct/>
        <w:topLinePunct w:val="0"/>
        <w:bidi w:val="0"/>
        <w:spacing w:line="560" w:lineRule="exac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况评估报告</w:t>
      </w:r>
    </w:p>
    <w:p w14:paraId="3A3314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日1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时许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位于月亮湾路与查济路交口合肥周谷堆大兴物流园发生一起高处坠落事故</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造成1人死亡</w:t>
      </w:r>
      <w:r>
        <w:rPr>
          <w:rFonts w:hint="eastAsia" w:ascii="仿宋_GB2312" w:hAnsi="仿宋_GB2312" w:eastAsia="仿宋_GB2312" w:cs="仿宋_GB2312"/>
          <w:sz w:val="32"/>
          <w:szCs w:val="32"/>
        </w:rPr>
        <w:t>。</w:t>
      </w:r>
    </w:p>
    <w:p w14:paraId="436EDCA2">
      <w:pPr>
        <w:keepNext w:val="0"/>
        <w:keepLines w:val="0"/>
        <w:pageBreakBefore w:val="0"/>
        <w:wordWrap/>
        <w:overflowPunct/>
        <w:topLinePunct w:val="0"/>
        <w:bidi w:val="0"/>
        <w:spacing w:line="560" w:lineRule="exact"/>
        <w:ind w:firstLine="640" w:firstLineChars="20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根据《生产安全事故防范和整改措施落实情况评估办法》（安委办〔2021〕4号）和《安徽省生产安全事故防范和整改措施落实情况评估办法》（皖安办〔2021〕64号），由</w:t>
      </w:r>
      <w:r>
        <w:rPr>
          <w:rFonts w:hint="eastAsia" w:ascii="仿宋_GB2312" w:hAnsi="仿宋_GB2312" w:eastAsia="仿宋_GB2312" w:cs="仿宋_GB2312"/>
          <w:sz w:val="32"/>
          <w:szCs w:val="32"/>
          <w:lang w:val="en-US" w:eastAsia="zh-CN"/>
        </w:rPr>
        <w:t>区</w:t>
      </w:r>
      <w:r>
        <w:rPr>
          <w:rFonts w:hint="default" w:ascii="仿宋_GB2312" w:hAnsi="仿宋_GB2312" w:eastAsia="仿宋_GB2312" w:cs="仿宋_GB2312"/>
          <w:sz w:val="32"/>
          <w:szCs w:val="32"/>
          <w:lang w:val="en-US" w:eastAsia="zh-CN"/>
        </w:rPr>
        <w:t>应急管理局牵头会同有关部门，组成</w:t>
      </w:r>
      <w:r>
        <w:rPr>
          <w:rFonts w:hint="eastAsia" w:ascii="仿宋_GB2312" w:hAnsi="仿宋_GB2312" w:eastAsia="仿宋_GB2312" w:cs="仿宋_GB2312"/>
          <w:sz w:val="32"/>
          <w:szCs w:val="32"/>
          <w:lang w:val="en-US" w:eastAsia="zh-CN"/>
        </w:rPr>
        <w:t>瑶海安徽皖信人力资源管理有限公司“12•28”一般高处坠落事故</w:t>
      </w:r>
      <w:r>
        <w:rPr>
          <w:rFonts w:hint="default" w:ascii="仿宋_GB2312" w:hAnsi="仿宋_GB2312" w:eastAsia="仿宋_GB2312" w:cs="仿宋_GB2312"/>
          <w:sz w:val="32"/>
          <w:szCs w:val="32"/>
          <w:lang w:val="en-US" w:eastAsia="zh-CN"/>
        </w:rPr>
        <w:t>防范和整改措施落实情况评估工作组（以下简称评估组</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对事故整改措施落实情况进行了评估。</w:t>
      </w:r>
    </w:p>
    <w:p w14:paraId="49421EDD">
      <w:pPr>
        <w:keepNext w:val="0"/>
        <w:keepLines w:val="0"/>
        <w:pageBreakBefore w:val="0"/>
        <w:widowControl/>
        <w:kinsoku w:val="0"/>
        <w:wordWrap/>
        <w:overflowPunct/>
        <w:topLinePunct w:val="0"/>
        <w:autoSpaceDE w:val="0"/>
        <w:autoSpaceDN w:val="0"/>
        <w:bidi w:val="0"/>
        <w:adjustRightInd w:val="0"/>
        <w:snapToGrid w:val="0"/>
        <w:spacing w:line="560" w:lineRule="exact"/>
        <w:ind w:firstLine="672" w:firstLineChars="200"/>
        <w:jc w:val="both"/>
        <w:textAlignment w:val="baseline"/>
        <w:outlineLvl w:val="1"/>
        <w:rPr>
          <w:rFonts w:ascii="黑体" w:hAnsi="黑体" w:eastAsia="黑体" w:cs="黑体"/>
          <w:snapToGrid w:val="0"/>
          <w:color w:val="000000"/>
          <w:kern w:val="0"/>
          <w:sz w:val="32"/>
          <w:szCs w:val="32"/>
          <w:lang w:eastAsia="en-US"/>
        </w:rPr>
      </w:pPr>
      <w:r>
        <w:rPr>
          <w:rFonts w:ascii="黑体" w:hAnsi="黑体" w:eastAsia="黑体" w:cs="黑体"/>
          <w:snapToGrid w:val="0"/>
          <w:color w:val="000000"/>
          <w:spacing w:val="8"/>
          <w:kern w:val="0"/>
          <w:sz w:val="32"/>
          <w:szCs w:val="32"/>
          <w:lang w:eastAsia="en-US"/>
        </w:rPr>
        <w:t>一、评估工作组织及开展情况</w:t>
      </w:r>
    </w:p>
    <w:p w14:paraId="5EAB1378">
      <w:pPr>
        <w:keepNext w:val="0"/>
        <w:keepLines w:val="0"/>
        <w:pageBreakBefore w:val="0"/>
        <w:wordWrap/>
        <w:overflowPunct/>
        <w:topLinePunct w:val="0"/>
        <w:bidi w:val="0"/>
        <w:spacing w:line="560" w:lineRule="exact"/>
        <w:ind w:firstLine="640" w:firstLineChars="20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32"/>
          <w:szCs w:val="32"/>
          <w:lang w:val="en-US" w:eastAsia="zh-CN"/>
        </w:rPr>
        <w:t>2026年1月16日</w:t>
      </w:r>
      <w:r>
        <w:rPr>
          <w:rFonts w:hint="default" w:ascii="仿宋_GB2312" w:hAnsi="仿宋_GB2312" w:eastAsia="仿宋_GB2312" w:cs="仿宋_GB2312"/>
          <w:sz w:val="32"/>
          <w:szCs w:val="32"/>
          <w:lang w:val="en-US" w:eastAsia="en-US"/>
        </w:rPr>
        <w:t>，</w:t>
      </w:r>
      <w:r>
        <w:rPr>
          <w:rFonts w:hint="default" w:ascii="仿宋_GB2312" w:hAnsi="仿宋_GB2312" w:eastAsia="仿宋_GB2312" w:cs="仿宋_GB2312"/>
          <w:sz w:val="32"/>
          <w:szCs w:val="32"/>
          <w:lang w:val="en-US" w:eastAsia="zh-CN"/>
        </w:rPr>
        <w:t>瑶海区安全生产（防灾减灾救灾）委员会办公室</w:t>
      </w:r>
      <w:r>
        <w:rPr>
          <w:rFonts w:hint="default" w:ascii="仿宋_GB2312" w:hAnsi="仿宋_GB2312" w:eastAsia="仿宋_GB2312" w:cs="仿宋_GB2312"/>
          <w:sz w:val="32"/>
          <w:szCs w:val="32"/>
          <w:lang w:val="en-US" w:eastAsia="en-US"/>
        </w:rPr>
        <w:t>成立由</w:t>
      </w:r>
      <w:r>
        <w:rPr>
          <w:rFonts w:hint="eastAsia" w:ascii="仿宋_GB2312" w:hAnsi="仿宋_GB2312" w:eastAsia="仿宋_GB2312" w:cs="仿宋_GB2312"/>
          <w:sz w:val="32"/>
          <w:szCs w:val="32"/>
          <w:lang w:val="en-US" w:eastAsia="zh-CN"/>
        </w:rPr>
        <w:t>瑶海区</w:t>
      </w:r>
      <w:r>
        <w:rPr>
          <w:rFonts w:hint="default" w:ascii="仿宋_GB2312" w:hAnsi="仿宋_GB2312" w:eastAsia="仿宋_GB2312" w:cs="仿宋_GB2312"/>
          <w:sz w:val="32"/>
          <w:szCs w:val="32"/>
          <w:lang w:val="en-US" w:eastAsia="en-US"/>
        </w:rPr>
        <w:t>应急局牵头，</w:t>
      </w:r>
      <w:r>
        <w:rPr>
          <w:rFonts w:hint="default"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lang w:val="en-US" w:eastAsia="zh-CN"/>
        </w:rPr>
        <w:t>市场监管局</w:t>
      </w:r>
      <w:r>
        <w:rPr>
          <w:rFonts w:hint="default" w:ascii="仿宋_GB2312" w:hAnsi="仿宋_GB2312" w:eastAsia="仿宋_GB2312" w:cs="仿宋_GB2312"/>
          <w:sz w:val="32"/>
          <w:szCs w:val="32"/>
          <w:lang w:val="en-US" w:eastAsia="en-US"/>
        </w:rPr>
        <w:t>、</w:t>
      </w:r>
      <w:r>
        <w:rPr>
          <w:rFonts w:hint="eastAsia" w:ascii="仿宋_GB2312" w:hAnsi="仿宋_GB2312" w:eastAsia="仿宋_GB2312" w:cs="仿宋_GB2312"/>
          <w:sz w:val="32"/>
          <w:szCs w:val="32"/>
          <w:lang w:val="en-US" w:eastAsia="zh-CN"/>
        </w:rPr>
        <w:t>区商务局、大兴镇政府</w:t>
      </w:r>
      <w:r>
        <w:rPr>
          <w:rFonts w:hint="default" w:ascii="仿宋_GB2312" w:hAnsi="仿宋_GB2312" w:eastAsia="仿宋_GB2312" w:cs="仿宋_GB2312"/>
          <w:sz w:val="32"/>
          <w:szCs w:val="32"/>
          <w:lang w:val="en-US" w:eastAsia="en-US"/>
        </w:rPr>
        <w:t>有关人员组成的评估组（见附件1），并依据</w:t>
      </w:r>
      <w:r>
        <w:rPr>
          <w:rFonts w:hint="eastAsia" w:ascii="仿宋_GB2312" w:hAnsi="仿宋_GB2312" w:eastAsia="仿宋_GB2312" w:cs="仿宋_GB2312"/>
          <w:sz w:val="32"/>
          <w:szCs w:val="32"/>
          <w:lang w:val="en-US" w:eastAsia="zh-CN"/>
        </w:rPr>
        <w:t>《</w:t>
      </w:r>
      <w:bookmarkStart w:id="0" w:name="_Toc9130"/>
      <w:r>
        <w:rPr>
          <w:rFonts w:hint="eastAsia" w:ascii="仿宋_GB2312" w:hAnsi="仿宋_GB2312" w:eastAsia="仿宋_GB2312" w:cs="仿宋_GB2312"/>
          <w:sz w:val="32"/>
          <w:szCs w:val="32"/>
          <w:lang w:val="en-US" w:eastAsia="zh-CN"/>
        </w:rPr>
        <w:t>瑶海安徽皖信人力资源管理有限公司“12•28”一般高处坠落事故调查报告</w:t>
      </w:r>
      <w:bookmarkEnd w:id="0"/>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en-US"/>
        </w:rPr>
        <w:t>，梳理出评估清单（见附件2），评估组采取调阅事故原始档案、查阅相关文件资料、现场检查、听取情况报告等方式，深入开展评估工作。对评估过程中发现的问题</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en-US"/>
        </w:rPr>
        <w:t>及时向有关部门和相关单位进行反馈，要求立即组织整改。</w:t>
      </w:r>
    </w:p>
    <w:p w14:paraId="6C033A84">
      <w:pPr>
        <w:keepNext w:val="0"/>
        <w:keepLines w:val="0"/>
        <w:pageBreakBefore w:val="0"/>
        <w:widowControl/>
        <w:kinsoku w:val="0"/>
        <w:wordWrap/>
        <w:overflowPunct/>
        <w:topLinePunct w:val="0"/>
        <w:autoSpaceDE w:val="0"/>
        <w:autoSpaceDN w:val="0"/>
        <w:bidi w:val="0"/>
        <w:adjustRightInd w:val="0"/>
        <w:snapToGrid w:val="0"/>
        <w:spacing w:line="560" w:lineRule="exact"/>
        <w:ind w:firstLine="672" w:firstLineChars="200"/>
        <w:jc w:val="both"/>
        <w:textAlignment w:val="baseline"/>
        <w:outlineLvl w:val="1"/>
        <w:rPr>
          <w:rFonts w:hint="default" w:ascii="黑体" w:hAnsi="黑体" w:eastAsia="黑体" w:cs="黑体"/>
          <w:snapToGrid w:val="0"/>
          <w:color w:val="000000"/>
          <w:spacing w:val="8"/>
          <w:kern w:val="0"/>
          <w:sz w:val="32"/>
          <w:szCs w:val="32"/>
          <w:lang w:val="en-US" w:eastAsia="zh-CN"/>
        </w:rPr>
      </w:pPr>
      <w:r>
        <w:rPr>
          <w:rFonts w:hint="eastAsia" w:ascii="黑体" w:hAnsi="黑体" w:eastAsia="黑体" w:cs="黑体"/>
          <w:snapToGrid w:val="0"/>
          <w:color w:val="000000"/>
          <w:spacing w:val="8"/>
          <w:kern w:val="0"/>
          <w:sz w:val="32"/>
          <w:szCs w:val="32"/>
          <w:lang w:eastAsia="zh-CN"/>
        </w:rPr>
        <w:t>二、</w:t>
      </w:r>
      <w:r>
        <w:rPr>
          <w:rFonts w:ascii="黑体" w:hAnsi="黑体" w:eastAsia="黑体" w:cs="黑体"/>
          <w:snapToGrid w:val="0"/>
          <w:color w:val="000000"/>
          <w:spacing w:val="8"/>
          <w:kern w:val="0"/>
          <w:sz w:val="32"/>
          <w:szCs w:val="32"/>
          <w:lang w:eastAsia="en-US"/>
        </w:rPr>
        <w:t>事故整改措施落实情况</w:t>
      </w:r>
    </w:p>
    <w:p w14:paraId="5B04E32F">
      <w:pPr>
        <w:pStyle w:val="3"/>
        <w:keepNext w:val="0"/>
        <w:keepLines w:val="0"/>
        <w:pageBreakBefore w:val="0"/>
        <w:widowControl/>
        <w:kinsoku w:val="0"/>
        <w:wordWrap/>
        <w:overflowPunct/>
        <w:topLinePunct w:val="0"/>
        <w:autoSpaceDE w:val="0"/>
        <w:autoSpaceDN w:val="0"/>
        <w:bidi w:val="0"/>
        <w:adjustRightInd w:val="0"/>
        <w:snapToGrid w:val="0"/>
        <w:spacing w:after="0" w:afterLines="-2147483648" w:afterAutospacing="0" w:line="560" w:lineRule="exact"/>
        <w:ind w:right="0" w:firstLine="672" w:firstLineChars="200"/>
        <w:jc w:val="both"/>
        <w:textAlignment w:val="baseline"/>
        <w:rPr>
          <w:rFonts w:hint="default" w:ascii="FangSong_GB2312" w:hAnsi="FangSong_GB2312" w:eastAsia="FangSong_GB2312" w:cs="FangSong_GB2312"/>
          <w:snapToGrid w:val="0"/>
          <w:color w:val="000000"/>
          <w:spacing w:val="7"/>
          <w:kern w:val="0"/>
          <w:sz w:val="32"/>
          <w:szCs w:val="32"/>
          <w:lang w:val="en-US" w:eastAsia="zh-CN"/>
        </w:rPr>
      </w:pPr>
      <w:r>
        <w:rPr>
          <w:rFonts w:hint="eastAsia" w:ascii="黑体" w:hAnsi="黑体" w:eastAsia="黑体" w:cs="黑体"/>
          <w:snapToGrid w:val="0"/>
          <w:color w:val="000000"/>
          <w:spacing w:val="8"/>
          <w:kern w:val="0"/>
          <w:sz w:val="32"/>
          <w:szCs w:val="32"/>
          <w:lang w:val="en-US" w:eastAsia="zh-CN"/>
        </w:rPr>
        <w:t>《</w:t>
      </w:r>
      <w:r>
        <w:rPr>
          <w:rFonts w:hint="eastAsia" w:ascii="仿宋_GB2312" w:hAnsi="仿宋_GB2312" w:eastAsia="仿宋_GB2312" w:cs="仿宋_GB2312"/>
          <w:sz w:val="32"/>
          <w:szCs w:val="32"/>
          <w:lang w:val="en-US" w:eastAsia="en-US"/>
        </w:rPr>
        <w:t>合肥市瑶海区人民政府关于瑶海安徽皖信人力资</w:t>
      </w:r>
      <w:r>
        <w:rPr>
          <w:rFonts w:hint="eastAsia" w:ascii="仿宋_GB2312" w:hAnsi="仿宋_GB2312" w:eastAsia="仿宋_GB2312" w:cs="仿宋_GB2312"/>
          <w:sz w:val="32"/>
          <w:szCs w:val="32"/>
          <w:lang w:val="en-US" w:eastAsia="zh-CN"/>
        </w:rPr>
        <w:t>源管</w:t>
      </w:r>
      <w:r>
        <w:rPr>
          <w:rFonts w:hint="eastAsia" w:ascii="仿宋_GB2312" w:hAnsi="仿宋_GB2312" w:eastAsia="仿宋_GB2312" w:cs="仿宋_GB2312"/>
          <w:sz w:val="32"/>
          <w:szCs w:val="32"/>
          <w:lang w:val="en-US" w:eastAsia="en-US"/>
        </w:rPr>
        <w:t>理有限公司“12·28”一般高处坠落事故调查报告的批复</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瑶</w:t>
      </w:r>
      <w:r>
        <w:rPr>
          <w:rFonts w:hint="default" w:ascii="仿宋_GB2312" w:hAnsi="仿宋_GB2312" w:eastAsia="仿宋_GB2312" w:cs="仿宋_GB2312"/>
          <w:kern w:val="2"/>
          <w:sz w:val="32"/>
          <w:szCs w:val="32"/>
          <w:lang w:val="en-US" w:eastAsia="zh-CN" w:bidi="ar-SA"/>
        </w:rPr>
        <w:t>政秘〔202</w:t>
      </w:r>
      <w:r>
        <w:rPr>
          <w:rFonts w:hint="eastAsia" w:ascii="仿宋_GB2312" w:hAnsi="仿宋_GB2312" w:eastAsia="仿宋_GB2312" w:cs="仿宋_GB2312"/>
          <w:kern w:val="2"/>
          <w:sz w:val="32"/>
          <w:szCs w:val="32"/>
          <w:lang w:val="en-US" w:eastAsia="zh-CN" w:bidi="ar-SA"/>
        </w:rPr>
        <w:t>4</w:t>
      </w:r>
      <w:r>
        <w:rPr>
          <w:rFonts w:hint="default"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4</w:t>
      </w:r>
      <w:r>
        <w:rPr>
          <w:rFonts w:hint="default" w:ascii="仿宋_GB2312" w:hAnsi="仿宋_GB2312" w:eastAsia="仿宋_GB2312" w:cs="仿宋_GB2312"/>
          <w:kern w:val="2"/>
          <w:sz w:val="32"/>
          <w:szCs w:val="32"/>
          <w:lang w:val="en-US" w:eastAsia="zh-CN" w:bidi="ar-SA"/>
        </w:rPr>
        <w:t>号）</w:t>
      </w:r>
      <w:r>
        <w:rPr>
          <w:rFonts w:hint="default" w:ascii="FangSong_GB2312" w:hAnsi="FangSong_GB2312" w:eastAsia="FangSong_GB2312" w:cs="FangSong_GB2312"/>
          <w:snapToGrid w:val="0"/>
          <w:color w:val="000000"/>
          <w:spacing w:val="7"/>
          <w:kern w:val="0"/>
          <w:sz w:val="32"/>
          <w:szCs w:val="32"/>
          <w:lang w:val="en-US" w:eastAsia="zh-CN"/>
        </w:rPr>
        <w:t>印发后，有关部门单位对照各自职责，认真落实各项事故整改措施。</w:t>
      </w:r>
    </w:p>
    <w:p w14:paraId="17FBABE8">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楷体_GB2312" w:hAnsi="楷体_GB2312" w:eastAsia="楷体_GB2312" w:cs="楷体_GB2312"/>
          <w:b/>
          <w:kern w:val="0"/>
          <w:sz w:val="32"/>
          <w:szCs w:val="32"/>
          <w:lang w:val="en-US" w:eastAsia="en-US" w:bidi="ar-SA"/>
        </w:rPr>
      </w:pPr>
      <w:r>
        <w:rPr>
          <w:rFonts w:hint="eastAsia" w:ascii="楷体_GB2312" w:hAnsi="楷体_GB2312" w:eastAsia="楷体_GB2312" w:cs="楷体_GB2312"/>
          <w:b/>
          <w:kern w:val="0"/>
          <w:sz w:val="32"/>
          <w:szCs w:val="32"/>
          <w:lang w:val="en-US" w:eastAsia="en-US" w:bidi="ar-SA"/>
        </w:rPr>
        <w:t>（一）事故责任追究落实情况</w:t>
      </w:r>
    </w:p>
    <w:p w14:paraId="69DFB7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宋体" w:eastAsia="仿宋_GB2312" w:cs="仿宋_GB2312"/>
          <w:b/>
          <w:bCs/>
          <w:color w:val="000000"/>
          <w:kern w:val="0"/>
          <w:sz w:val="32"/>
          <w:szCs w:val="32"/>
          <w:lang w:val="en-US" w:eastAsia="zh-CN" w:bidi="ar"/>
        </w:rPr>
      </w:pPr>
      <w:r>
        <w:rPr>
          <w:rFonts w:hint="default" w:ascii="仿宋_GB2312" w:hAnsi="宋体" w:eastAsia="仿宋_GB2312" w:cs="仿宋_GB2312"/>
          <w:b/>
          <w:bCs/>
          <w:color w:val="000000"/>
          <w:kern w:val="0"/>
          <w:sz w:val="32"/>
          <w:szCs w:val="32"/>
          <w:lang w:val="en-US" w:eastAsia="zh-CN" w:bidi="ar"/>
        </w:rPr>
        <w:t>1.行政处罚处理落实情况</w:t>
      </w:r>
    </w:p>
    <w:p w14:paraId="28A3CAD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68" w:firstLineChars="200"/>
        <w:jc w:val="both"/>
        <w:textAlignment w:val="baseline"/>
        <w:outlineLvl w:val="1"/>
        <w:rPr>
          <w:rFonts w:hint="default" w:ascii="FangSong_GB2312" w:hAnsi="FangSong_GB2312" w:eastAsia="FangSong_GB2312" w:cs="FangSong_GB2312"/>
          <w:snapToGrid w:val="0"/>
          <w:color w:val="000000"/>
          <w:spacing w:val="7"/>
          <w:kern w:val="0"/>
          <w:sz w:val="32"/>
          <w:szCs w:val="32"/>
          <w:lang w:val="en-US" w:eastAsia="zh-CN" w:bidi="ar-SA"/>
        </w:rPr>
      </w:pPr>
      <w:r>
        <w:rPr>
          <w:rFonts w:hint="eastAsia" w:ascii="FangSong_GB2312" w:hAnsi="FangSong_GB2312" w:eastAsia="FangSong_GB2312" w:cs="FangSong_GB2312"/>
          <w:snapToGrid w:val="0"/>
          <w:color w:val="000000"/>
          <w:spacing w:val="7"/>
          <w:kern w:val="0"/>
          <w:sz w:val="32"/>
          <w:szCs w:val="32"/>
          <w:lang w:val="en-US" w:eastAsia="zh-CN" w:bidi="ar-SA"/>
        </w:rPr>
        <w:t>（1）安徽皖信人力资源管理有限公司，2025年6月23日，瑶海区</w:t>
      </w:r>
      <w:r>
        <w:rPr>
          <w:rFonts w:hint="default" w:ascii="FangSong_GB2312" w:hAnsi="FangSong_GB2312" w:eastAsia="FangSong_GB2312" w:cs="FangSong_GB2312"/>
          <w:snapToGrid w:val="0"/>
          <w:color w:val="000000"/>
          <w:spacing w:val="7"/>
          <w:kern w:val="0"/>
          <w:sz w:val="32"/>
          <w:szCs w:val="32"/>
          <w:lang w:val="en-US" w:eastAsia="zh-CN" w:bidi="ar-SA"/>
        </w:rPr>
        <w:t>应急管</w:t>
      </w:r>
      <w:r>
        <w:rPr>
          <w:rFonts w:hint="eastAsia" w:ascii="FangSong_GB2312" w:hAnsi="FangSong_GB2312" w:eastAsia="FangSong_GB2312" w:cs="FangSong_GB2312"/>
          <w:snapToGrid w:val="0"/>
          <w:color w:val="000000"/>
          <w:spacing w:val="7"/>
          <w:kern w:val="0"/>
          <w:sz w:val="32"/>
          <w:szCs w:val="32"/>
          <w:lang w:val="en-US" w:eastAsia="zh-CN" w:bidi="ar-SA"/>
        </w:rPr>
        <w:t>理</w:t>
      </w:r>
      <w:r>
        <w:rPr>
          <w:rFonts w:hint="default" w:ascii="FangSong_GB2312" w:hAnsi="FangSong_GB2312" w:eastAsia="FangSong_GB2312" w:cs="FangSong_GB2312"/>
          <w:snapToGrid w:val="0"/>
          <w:color w:val="000000"/>
          <w:spacing w:val="7"/>
          <w:kern w:val="0"/>
          <w:sz w:val="32"/>
          <w:szCs w:val="32"/>
          <w:lang w:val="en-US" w:eastAsia="zh-CN" w:bidi="ar-SA"/>
        </w:rPr>
        <w:t>局给予人民币</w:t>
      </w:r>
      <w:r>
        <w:rPr>
          <w:rFonts w:hint="eastAsia" w:ascii="FangSong_GB2312" w:hAnsi="FangSong_GB2312" w:eastAsia="FangSong_GB2312" w:cs="FangSong_GB2312"/>
          <w:snapToGrid w:val="0"/>
          <w:color w:val="000000"/>
          <w:spacing w:val="7"/>
          <w:kern w:val="0"/>
          <w:sz w:val="32"/>
          <w:szCs w:val="32"/>
          <w:lang w:val="en-US" w:eastAsia="zh-CN" w:bidi="ar-SA"/>
        </w:rPr>
        <w:t>伍拾万</w:t>
      </w:r>
      <w:r>
        <w:rPr>
          <w:rFonts w:hint="default" w:ascii="FangSong_GB2312" w:hAnsi="FangSong_GB2312" w:eastAsia="FangSong_GB2312" w:cs="FangSong_GB2312"/>
          <w:snapToGrid w:val="0"/>
          <w:color w:val="000000"/>
          <w:spacing w:val="7"/>
          <w:kern w:val="0"/>
          <w:sz w:val="32"/>
          <w:szCs w:val="32"/>
          <w:lang w:val="en-US" w:eastAsia="zh-CN" w:bidi="ar-SA"/>
        </w:rPr>
        <w:t>元整罚款，</w:t>
      </w:r>
      <w:r>
        <w:rPr>
          <w:rFonts w:hint="eastAsia" w:ascii="FangSong_GB2312" w:hAnsi="FangSong_GB2312" w:eastAsia="FangSong_GB2312" w:cs="FangSong_GB2312"/>
          <w:snapToGrid w:val="0"/>
          <w:color w:val="000000"/>
          <w:spacing w:val="7"/>
          <w:kern w:val="0"/>
          <w:sz w:val="32"/>
          <w:szCs w:val="32"/>
          <w:lang w:val="en-US" w:eastAsia="zh-CN" w:bidi="ar-SA"/>
        </w:rPr>
        <w:t>已</w:t>
      </w:r>
      <w:r>
        <w:rPr>
          <w:rFonts w:hint="default" w:ascii="FangSong_GB2312" w:hAnsi="FangSong_GB2312" w:eastAsia="FangSong_GB2312" w:cs="FangSong_GB2312"/>
          <w:snapToGrid w:val="0"/>
          <w:color w:val="000000"/>
          <w:spacing w:val="7"/>
          <w:kern w:val="0"/>
          <w:sz w:val="32"/>
          <w:szCs w:val="32"/>
          <w:lang w:val="en-US" w:eastAsia="zh-CN" w:bidi="ar-SA"/>
        </w:rPr>
        <w:t>缴纳罚款。</w:t>
      </w:r>
    </w:p>
    <w:p w14:paraId="369BA0A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68" w:firstLineChars="200"/>
        <w:jc w:val="both"/>
        <w:textAlignment w:val="baseline"/>
        <w:outlineLvl w:val="1"/>
        <w:rPr>
          <w:rFonts w:hint="default" w:ascii="FangSong_GB2312" w:hAnsi="FangSong_GB2312" w:eastAsia="FangSong_GB2312" w:cs="FangSong_GB2312"/>
          <w:snapToGrid w:val="0"/>
          <w:color w:val="000000"/>
          <w:spacing w:val="7"/>
          <w:kern w:val="0"/>
          <w:sz w:val="32"/>
          <w:szCs w:val="32"/>
          <w:lang w:val="en-US" w:eastAsia="zh-CN" w:bidi="ar-SA"/>
        </w:rPr>
      </w:pPr>
      <w:r>
        <w:rPr>
          <w:rFonts w:hint="eastAsia" w:ascii="FangSong_GB2312" w:hAnsi="FangSong_GB2312" w:eastAsia="FangSong_GB2312" w:cs="FangSong_GB2312"/>
          <w:snapToGrid w:val="0"/>
          <w:color w:val="000000"/>
          <w:spacing w:val="7"/>
          <w:kern w:val="0"/>
          <w:sz w:val="32"/>
          <w:szCs w:val="32"/>
          <w:lang w:val="en-US" w:eastAsia="zh-CN" w:bidi="ar-SA"/>
        </w:rPr>
        <w:t>（2）柳*霞，2025年6月23日，瑶海区</w:t>
      </w:r>
      <w:r>
        <w:rPr>
          <w:rFonts w:hint="default" w:ascii="FangSong_GB2312" w:hAnsi="FangSong_GB2312" w:eastAsia="FangSong_GB2312" w:cs="FangSong_GB2312"/>
          <w:snapToGrid w:val="0"/>
          <w:color w:val="000000"/>
          <w:spacing w:val="7"/>
          <w:kern w:val="0"/>
          <w:sz w:val="32"/>
          <w:szCs w:val="32"/>
          <w:lang w:val="en-US" w:eastAsia="zh-CN" w:bidi="ar-SA"/>
        </w:rPr>
        <w:t>应急管</w:t>
      </w:r>
      <w:r>
        <w:rPr>
          <w:rFonts w:hint="eastAsia" w:ascii="FangSong_GB2312" w:hAnsi="FangSong_GB2312" w:eastAsia="FangSong_GB2312" w:cs="FangSong_GB2312"/>
          <w:snapToGrid w:val="0"/>
          <w:color w:val="000000"/>
          <w:spacing w:val="7"/>
          <w:kern w:val="0"/>
          <w:sz w:val="32"/>
          <w:szCs w:val="32"/>
          <w:lang w:val="en-US" w:eastAsia="zh-CN" w:bidi="ar-SA"/>
        </w:rPr>
        <w:t>理</w:t>
      </w:r>
      <w:r>
        <w:rPr>
          <w:rFonts w:hint="default" w:ascii="FangSong_GB2312" w:hAnsi="FangSong_GB2312" w:eastAsia="FangSong_GB2312" w:cs="FangSong_GB2312"/>
          <w:snapToGrid w:val="0"/>
          <w:color w:val="000000"/>
          <w:spacing w:val="7"/>
          <w:kern w:val="0"/>
          <w:sz w:val="32"/>
          <w:szCs w:val="32"/>
          <w:lang w:val="en-US" w:eastAsia="zh-CN" w:bidi="ar-SA"/>
        </w:rPr>
        <w:t>局给予人民币</w:t>
      </w:r>
      <w:r>
        <w:rPr>
          <w:rFonts w:hint="eastAsia" w:ascii="FangSong_GB2312" w:hAnsi="FangSong_GB2312" w:eastAsia="FangSong_GB2312" w:cs="FangSong_GB2312"/>
          <w:snapToGrid w:val="0"/>
          <w:color w:val="000000"/>
          <w:spacing w:val="7"/>
          <w:kern w:val="0"/>
          <w:sz w:val="32"/>
          <w:szCs w:val="32"/>
          <w:lang w:val="en-US" w:eastAsia="zh-CN" w:bidi="ar-SA"/>
        </w:rPr>
        <w:t>叁万贰仟叁佰陆拾贰元整</w:t>
      </w:r>
      <w:r>
        <w:rPr>
          <w:rFonts w:hint="default" w:ascii="FangSong_GB2312" w:hAnsi="FangSong_GB2312" w:eastAsia="FangSong_GB2312" w:cs="FangSong_GB2312"/>
          <w:snapToGrid w:val="0"/>
          <w:color w:val="000000"/>
          <w:spacing w:val="7"/>
          <w:kern w:val="0"/>
          <w:sz w:val="32"/>
          <w:szCs w:val="32"/>
          <w:lang w:val="en-US" w:eastAsia="zh-CN" w:bidi="ar-SA"/>
        </w:rPr>
        <w:t>罚款，</w:t>
      </w:r>
      <w:r>
        <w:rPr>
          <w:rFonts w:hint="eastAsia" w:ascii="FangSong_GB2312" w:hAnsi="FangSong_GB2312" w:eastAsia="FangSong_GB2312" w:cs="FangSong_GB2312"/>
          <w:snapToGrid w:val="0"/>
          <w:color w:val="000000"/>
          <w:spacing w:val="7"/>
          <w:kern w:val="0"/>
          <w:sz w:val="32"/>
          <w:szCs w:val="32"/>
          <w:lang w:val="en-US" w:eastAsia="zh-CN" w:bidi="ar-SA"/>
        </w:rPr>
        <w:t>已</w:t>
      </w:r>
      <w:r>
        <w:rPr>
          <w:rFonts w:hint="default" w:ascii="FangSong_GB2312" w:hAnsi="FangSong_GB2312" w:eastAsia="FangSong_GB2312" w:cs="FangSong_GB2312"/>
          <w:snapToGrid w:val="0"/>
          <w:color w:val="000000"/>
          <w:spacing w:val="7"/>
          <w:kern w:val="0"/>
          <w:sz w:val="32"/>
          <w:szCs w:val="32"/>
          <w:lang w:val="en-US" w:eastAsia="zh-CN" w:bidi="ar-SA"/>
        </w:rPr>
        <w:t>缴纳罚款。</w:t>
      </w:r>
    </w:p>
    <w:p w14:paraId="1A884C0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68" w:firstLineChars="200"/>
        <w:jc w:val="both"/>
        <w:textAlignment w:val="baseline"/>
        <w:outlineLvl w:val="1"/>
        <w:rPr>
          <w:rFonts w:hint="default" w:ascii="FangSong_GB2312" w:hAnsi="FangSong_GB2312" w:eastAsia="FangSong_GB2312" w:cs="FangSong_GB2312"/>
          <w:snapToGrid w:val="0"/>
          <w:color w:val="000000"/>
          <w:spacing w:val="7"/>
          <w:kern w:val="0"/>
          <w:sz w:val="32"/>
          <w:szCs w:val="32"/>
          <w:lang w:val="en-US" w:eastAsia="zh-CN" w:bidi="ar-SA"/>
        </w:rPr>
      </w:pPr>
      <w:r>
        <w:rPr>
          <w:rFonts w:hint="eastAsia" w:ascii="FangSong_GB2312" w:hAnsi="FangSong_GB2312" w:eastAsia="FangSong_GB2312" w:cs="FangSong_GB2312"/>
          <w:snapToGrid w:val="0"/>
          <w:color w:val="000000"/>
          <w:spacing w:val="7"/>
          <w:kern w:val="0"/>
          <w:sz w:val="32"/>
          <w:szCs w:val="32"/>
          <w:lang w:val="en-US" w:eastAsia="zh-CN" w:bidi="ar-SA"/>
        </w:rPr>
        <w:t>（3）涂*锋，2025年6月23日。瑶海区</w:t>
      </w:r>
      <w:r>
        <w:rPr>
          <w:rFonts w:hint="default" w:ascii="FangSong_GB2312" w:hAnsi="FangSong_GB2312" w:eastAsia="FangSong_GB2312" w:cs="FangSong_GB2312"/>
          <w:snapToGrid w:val="0"/>
          <w:color w:val="000000"/>
          <w:spacing w:val="7"/>
          <w:kern w:val="0"/>
          <w:sz w:val="32"/>
          <w:szCs w:val="32"/>
          <w:lang w:val="en-US" w:eastAsia="zh-CN" w:bidi="ar-SA"/>
        </w:rPr>
        <w:t>应急管</w:t>
      </w:r>
      <w:r>
        <w:rPr>
          <w:rFonts w:hint="eastAsia" w:ascii="FangSong_GB2312" w:hAnsi="FangSong_GB2312" w:eastAsia="FangSong_GB2312" w:cs="FangSong_GB2312"/>
          <w:snapToGrid w:val="0"/>
          <w:color w:val="000000"/>
          <w:spacing w:val="7"/>
          <w:kern w:val="0"/>
          <w:sz w:val="32"/>
          <w:szCs w:val="32"/>
          <w:lang w:val="en-US" w:eastAsia="zh-CN" w:bidi="ar-SA"/>
        </w:rPr>
        <w:t>理</w:t>
      </w:r>
      <w:r>
        <w:rPr>
          <w:rFonts w:hint="default" w:ascii="FangSong_GB2312" w:hAnsi="FangSong_GB2312" w:eastAsia="FangSong_GB2312" w:cs="FangSong_GB2312"/>
          <w:snapToGrid w:val="0"/>
          <w:color w:val="000000"/>
          <w:spacing w:val="7"/>
          <w:kern w:val="0"/>
          <w:sz w:val="32"/>
          <w:szCs w:val="32"/>
          <w:lang w:val="en-US" w:eastAsia="zh-CN" w:bidi="ar-SA"/>
        </w:rPr>
        <w:t>局给予人民币</w:t>
      </w:r>
      <w:r>
        <w:rPr>
          <w:rFonts w:hint="eastAsia" w:ascii="FangSong_GB2312" w:hAnsi="FangSong_GB2312" w:eastAsia="FangSong_GB2312" w:cs="FangSong_GB2312"/>
          <w:snapToGrid w:val="0"/>
          <w:color w:val="000000"/>
          <w:spacing w:val="7"/>
          <w:kern w:val="0"/>
          <w:sz w:val="32"/>
          <w:szCs w:val="32"/>
          <w:lang w:val="en-US" w:eastAsia="zh-CN" w:bidi="ar-SA"/>
        </w:rPr>
        <w:t>伍仟元整</w:t>
      </w:r>
      <w:r>
        <w:rPr>
          <w:rFonts w:hint="default" w:ascii="FangSong_GB2312" w:hAnsi="FangSong_GB2312" w:eastAsia="FangSong_GB2312" w:cs="FangSong_GB2312"/>
          <w:snapToGrid w:val="0"/>
          <w:color w:val="000000"/>
          <w:spacing w:val="7"/>
          <w:kern w:val="0"/>
          <w:sz w:val="32"/>
          <w:szCs w:val="32"/>
          <w:lang w:val="en-US" w:eastAsia="zh-CN" w:bidi="ar-SA"/>
        </w:rPr>
        <w:t>罚款，</w:t>
      </w:r>
      <w:r>
        <w:rPr>
          <w:rFonts w:hint="eastAsia" w:ascii="FangSong_GB2312" w:hAnsi="FangSong_GB2312" w:eastAsia="FangSong_GB2312" w:cs="FangSong_GB2312"/>
          <w:snapToGrid w:val="0"/>
          <w:color w:val="000000"/>
          <w:spacing w:val="7"/>
          <w:kern w:val="0"/>
          <w:sz w:val="32"/>
          <w:szCs w:val="32"/>
          <w:lang w:val="en-US" w:eastAsia="zh-CN" w:bidi="ar-SA"/>
        </w:rPr>
        <w:t>已</w:t>
      </w:r>
      <w:r>
        <w:rPr>
          <w:rFonts w:hint="default" w:ascii="FangSong_GB2312" w:hAnsi="FangSong_GB2312" w:eastAsia="FangSong_GB2312" w:cs="FangSong_GB2312"/>
          <w:snapToGrid w:val="0"/>
          <w:color w:val="000000"/>
          <w:spacing w:val="7"/>
          <w:kern w:val="0"/>
          <w:sz w:val="32"/>
          <w:szCs w:val="32"/>
          <w:lang w:val="en-US" w:eastAsia="zh-CN" w:bidi="ar-SA"/>
        </w:rPr>
        <w:t>缴纳罚款。</w:t>
      </w:r>
    </w:p>
    <w:p w14:paraId="5A90D0F0">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楷体_GB2312" w:hAnsi="楷体_GB2312" w:eastAsia="楷体_GB2312" w:cs="楷体_GB2312"/>
          <w:b/>
          <w:kern w:val="0"/>
          <w:sz w:val="32"/>
          <w:szCs w:val="32"/>
          <w:lang w:val="en-US" w:eastAsia="en-US" w:bidi="ar-SA"/>
        </w:rPr>
      </w:pPr>
      <w:r>
        <w:rPr>
          <w:rFonts w:hint="eastAsia" w:ascii="楷体_GB2312" w:hAnsi="楷体_GB2312" w:eastAsia="楷体_GB2312" w:cs="楷体_GB2312"/>
          <w:b/>
          <w:kern w:val="0"/>
          <w:sz w:val="32"/>
          <w:szCs w:val="32"/>
          <w:lang w:val="en-US" w:eastAsia="en-US" w:bidi="ar-SA"/>
        </w:rPr>
        <w:t>（二）有关事故单位落实事故整改措施情况</w:t>
      </w:r>
    </w:p>
    <w:p w14:paraId="487D9780">
      <w:pPr>
        <w:keepNext w:val="0"/>
        <w:keepLines w:val="0"/>
        <w:pageBreakBefore w:val="0"/>
        <w:widowControl/>
        <w:suppressLineNumbers w:val="0"/>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安徽皖信人力资源管理有限公司，落实调查报告要求，履行了行政处罚决定。一是落实安全生产责任制度。完善了企业安全生产责任制度，签订了安全生产责任书，落实全员安全生产责任制。二是加强企业的自我管理及安全生产教育培训。督促从业人员严格执行本单位各项安全规章制度和安全操作规程。三是强化现场作业的巡查。督促教育作业人员按要求规范佩戴、使用劳动防护用品，制止</w:t>
      </w:r>
      <w:r>
        <w:rPr>
          <w:rFonts w:ascii="仿宋_GB2312" w:hAnsi="仿宋_GB2312" w:eastAsia="仿宋_GB2312" w:cs="仿宋_GB2312"/>
          <w:color w:val="000000"/>
          <w:kern w:val="0"/>
          <w:sz w:val="32"/>
          <w:szCs w:val="32"/>
          <w:lang w:val="en-US" w:eastAsia="zh-CN" w:bidi="ar"/>
        </w:rPr>
        <w:t>违反安全操作规程作业，</w:t>
      </w:r>
      <w:r>
        <w:rPr>
          <w:rFonts w:hint="eastAsia" w:ascii="仿宋_GB2312" w:hAnsi="仿宋_GB2312" w:eastAsia="仿宋_GB2312" w:cs="仿宋_GB2312"/>
          <w:kern w:val="44"/>
          <w:sz w:val="32"/>
          <w:szCs w:val="32"/>
          <w:lang w:val="en-US" w:eastAsia="zh-CN" w:bidi="ar-SA"/>
        </w:rPr>
        <w:t>及时发现、纠正作业现场存在的各类违法、违</w:t>
      </w:r>
      <w:r>
        <w:rPr>
          <w:rFonts w:hint="eastAsia" w:ascii="仿宋_GB2312" w:hAnsi="仿宋_GB2312" w:eastAsia="仿宋_GB2312" w:cs="仿宋_GB2312"/>
          <w:sz w:val="32"/>
          <w:szCs w:val="32"/>
          <w:lang w:val="en-US" w:eastAsia="zh-CN"/>
        </w:rPr>
        <w:t>规、违章行为，消除安全隐患，确保施工安全。</w:t>
      </w:r>
    </w:p>
    <w:p w14:paraId="50B5DD2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周谷堆物流园公司，认真落实调查报告的事故防范和整改措施。一是完善安全管理制度体系依据《中华人民共和国安全生产法》，全面修订了公司安全生产规章制度与岗位操作规程，并特别强化了对外包合作单位安全生产工作的统一协调、管理与监督责任。二是强化人员培训与规范执行。系统开展安全生产教育培训，确保从业人员熟练掌握并严格执行各项安全规定与操作流程，切实提升全员安全风险防范意识和能力。三是严格现场安全监督与风险管控。加大作业现场巡查频次与力度，重点监督劳动防护用品的规范使用，坚决制止和纠正各类违规作业行为，建立隐患即时排查与整改机制，确保作业过程安全可控。</w:t>
      </w:r>
    </w:p>
    <w:p w14:paraId="306E927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outlineLvl w:val="0"/>
        <w:rPr>
          <w:rFonts w:hint="default" w:ascii="Times New Roman" w:hAnsi="Times New Roman" w:eastAsia="黑体" w:cs="Times New Roman"/>
          <w:kern w:val="0"/>
          <w:sz w:val="32"/>
          <w:szCs w:val="32"/>
          <w:lang w:eastAsia="en-US"/>
        </w:rPr>
      </w:pPr>
      <w:r>
        <w:rPr>
          <w:rFonts w:hint="eastAsia" w:ascii="仿宋_GB2312" w:hAnsi="仿宋_GB2312" w:eastAsia="仿宋_GB2312" w:cs="仿宋_GB2312"/>
          <w:sz w:val="32"/>
          <w:szCs w:val="32"/>
          <w:lang w:val="en-US" w:eastAsia="zh-CN"/>
        </w:rPr>
        <w:t>3.区商务局，认真落实调查报告的事故防范和整改措施。</w:t>
      </w:r>
      <w:r>
        <w:rPr>
          <w:rFonts w:hint="eastAsia" w:ascii="仿宋_GB2312" w:hAnsi="仿宋_GB2312" w:eastAsia="仿宋_GB2312" w:cs="仿宋_GB2312"/>
          <w:b w:val="0"/>
          <w:bCs w:val="0"/>
          <w:color w:val="auto"/>
          <w:kern w:val="0"/>
          <w:sz w:val="32"/>
          <w:szCs w:val="32"/>
          <w:lang w:val="en-US" w:eastAsia="zh-CN" w:bidi="ar"/>
        </w:rPr>
        <w:t>一是严格落实“三管三必须”要求，压紧压实监管责任。明确本部门安全生产监督管理职责，建立健全行业安全监管责任体系，确保业务工作与安全生产同部署、同检查、同落实，坚决防止责任悬空。二是深入开展行业安全风险研判与问题剖析。全面梳理商贸流通领域安全生产薄弱环节和突出问题，深刻剖析问题根源，形成专项分析报告，制定针对性强的行业安全风险管控清单。三是强化对企业主体责任落实的督促与指导。加大监督检查力度，通过专项检查、明察暗访等方式，督促相关企业健全安全管理制度、加大安全投入、强化人员培训、开展隐患排查治理，确保企业主体责任落到实处。四是完善长效监管机制，筑牢事故防范屏障。健全部门协同、信息共享、联合执法等工作机制，加强事故警示教育，举一反三，强化源头管控和过程监督，切实提升行业本质安全水平，坚决防范同类事故重复发生。</w:t>
      </w:r>
    </w:p>
    <w:p w14:paraId="0430016D">
      <w:pPr>
        <w:keepNext w:val="0"/>
        <w:keepLines w:val="0"/>
        <w:pageBreakBefore w:val="0"/>
        <w:widowControl/>
        <w:kinsoku/>
        <w:wordWrap/>
        <w:overflowPunct/>
        <w:topLinePunct w:val="0"/>
        <w:autoSpaceDE/>
        <w:autoSpaceDN/>
        <w:bidi w:val="0"/>
        <w:adjustRightInd/>
        <w:snapToGrid/>
        <w:spacing w:line="560" w:lineRule="exact"/>
        <w:ind w:right="105" w:firstLine="640" w:firstLineChars="200"/>
        <w:textAlignment w:val="auto"/>
        <w:outlineLvl w:val="0"/>
        <w:rPr>
          <w:rFonts w:hint="eastAsia" w:ascii="Times New Roman" w:hAnsi="Times New Roman" w:eastAsia="黑体" w:cs="Times New Roman"/>
          <w:kern w:val="0"/>
          <w:sz w:val="32"/>
          <w:szCs w:val="32"/>
          <w:lang w:eastAsia="en-US"/>
        </w:rPr>
      </w:pPr>
      <w:r>
        <w:rPr>
          <w:rFonts w:hint="eastAsia" w:ascii="Times New Roman" w:hAnsi="Times New Roman" w:eastAsia="黑体" w:cs="Times New Roman"/>
          <w:kern w:val="0"/>
          <w:sz w:val="32"/>
          <w:szCs w:val="32"/>
          <w:lang w:eastAsia="en-US"/>
        </w:rPr>
        <w:t>三、评估意见</w:t>
      </w:r>
    </w:p>
    <w:p w14:paraId="76FB1244">
      <w:pPr>
        <w:keepNext w:val="0"/>
        <w:keepLines w:val="0"/>
        <w:pageBreakBefore w:val="0"/>
        <w:widowControl/>
        <w:suppressLineNumbers w:val="0"/>
        <w:wordWrap/>
        <w:overflowPunct/>
        <w:topLinePunct w:val="0"/>
        <w:bidi w:val="0"/>
        <w:spacing w:line="560" w:lineRule="exact"/>
        <w:ind w:firstLine="640" w:firstLineChars="200"/>
        <w:jc w:val="left"/>
        <w:rPr>
          <w:rFonts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评估组综合评估后认为，事故有关单位能吸取事故教训，基本落实事故各项责任追究，认真开展了整改，取得了积极成效。但</w:t>
      </w:r>
      <w:r>
        <w:rPr>
          <w:rFonts w:ascii="仿宋_GB2312" w:hAnsi="仿宋_GB2312" w:eastAsia="仿宋_GB2312" w:cs="仿宋_GB2312"/>
          <w:color w:val="000000"/>
          <w:kern w:val="0"/>
          <w:sz w:val="32"/>
          <w:szCs w:val="32"/>
          <w:lang w:val="en-US" w:eastAsia="zh-CN" w:bidi="ar"/>
        </w:rPr>
        <w:t>为深刻吸取事故教训，深化防范措施，有效防范和减少同类事故的发生</w:t>
      </w:r>
      <w:r>
        <w:rPr>
          <w:rFonts w:hint="eastAsia" w:ascii="仿宋_GB2312" w:hAnsi="仿宋_GB2312" w:eastAsia="仿宋_GB2312" w:cs="仿宋_GB2312"/>
          <w:color w:val="000000"/>
          <w:kern w:val="0"/>
          <w:sz w:val="32"/>
          <w:szCs w:val="32"/>
          <w:lang w:val="en-US" w:eastAsia="zh-CN" w:bidi="ar"/>
        </w:rPr>
        <w:t>，</w:t>
      </w:r>
      <w:r>
        <w:rPr>
          <w:rFonts w:ascii="仿宋_GB2312" w:hAnsi="仿宋_GB2312" w:eastAsia="仿宋_GB2312" w:cs="仿宋_GB2312"/>
          <w:color w:val="000000"/>
          <w:kern w:val="0"/>
          <w:sz w:val="32"/>
          <w:szCs w:val="32"/>
          <w:lang w:val="en-US" w:eastAsia="zh-CN" w:bidi="ar"/>
        </w:rPr>
        <w:t>提出如下意见：</w:t>
      </w:r>
    </w:p>
    <w:p w14:paraId="57F9C346">
      <w:pPr>
        <w:keepNext w:val="0"/>
        <w:keepLines w:val="0"/>
        <w:pageBreakBefore w:val="0"/>
        <w:widowControl/>
        <w:suppressLineNumbers w:val="0"/>
        <w:wordWrap/>
        <w:overflowPunct/>
        <w:topLinePunct w:val="0"/>
        <w:bidi w:val="0"/>
        <w:spacing w:line="560" w:lineRule="exact"/>
        <w:ind w:firstLine="640" w:firstLineChars="200"/>
        <w:jc w:val="left"/>
        <w:rPr>
          <w:rFonts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val="en-US" w:eastAsia="zh-CN" w:bidi="ar"/>
        </w:rPr>
        <w:t>（一）加强部门协作推动责任追究落实到位。要进一步完善部门协作机制，推动各项责任追究工作依法依规、快速高效落实到位</w:t>
      </w:r>
      <w:r>
        <w:rPr>
          <w:rFonts w:hint="eastAsia" w:ascii="仿宋_GB2312" w:hAnsi="仿宋_GB2312" w:eastAsia="仿宋_GB2312" w:cs="仿宋_GB2312"/>
          <w:color w:val="000000"/>
          <w:kern w:val="0"/>
          <w:sz w:val="32"/>
          <w:szCs w:val="32"/>
          <w:lang w:val="en-US" w:eastAsia="zh-CN" w:bidi="ar"/>
        </w:rPr>
        <w:t>。</w:t>
      </w:r>
      <w:r>
        <w:rPr>
          <w:rFonts w:ascii="仿宋_GB2312" w:hAnsi="仿宋_GB2312" w:eastAsia="仿宋_GB2312" w:cs="仿宋_GB2312"/>
          <w:color w:val="000000"/>
          <w:kern w:val="0"/>
          <w:sz w:val="32"/>
          <w:szCs w:val="32"/>
          <w:lang w:val="en-US" w:eastAsia="zh-CN" w:bidi="ar"/>
        </w:rPr>
        <w:t xml:space="preserve">同时，对责任追究落实不力的，要依法问责，确保各项责任追究工作落实到位。 </w:t>
      </w:r>
    </w:p>
    <w:p w14:paraId="38D04560">
      <w:pPr>
        <w:keepNext w:val="0"/>
        <w:keepLines w:val="0"/>
        <w:pageBreakBefore w:val="0"/>
        <w:widowControl/>
        <w:suppressLineNumbers w:val="0"/>
        <w:wordWrap/>
        <w:overflowPunct/>
        <w:topLinePunct w:val="0"/>
        <w:bidi w:val="0"/>
        <w:spacing w:line="560" w:lineRule="exact"/>
        <w:ind w:firstLine="640" w:firstLineChars="200"/>
        <w:jc w:val="left"/>
        <w:rPr>
          <w:rFonts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val="en-US" w:eastAsia="zh-CN" w:bidi="ar"/>
        </w:rPr>
        <w:t>（二）要狠抓事故防范措施落地生效。要全面梳理事故防范和整改措施清单，常抓不懈，落地落细防范措施。举一反三，紧盯安全生产领域顽固性问题攻坚，深挖问题根源，采取切实可行的工作举措</w:t>
      </w:r>
      <w:r>
        <w:rPr>
          <w:rFonts w:hint="eastAsia" w:ascii="仿宋_GB2312" w:hAnsi="仿宋_GB2312" w:eastAsia="仿宋_GB2312" w:cs="仿宋_GB2312"/>
          <w:color w:val="000000"/>
          <w:kern w:val="0"/>
          <w:sz w:val="32"/>
          <w:szCs w:val="32"/>
          <w:lang w:val="en-US" w:eastAsia="zh-CN" w:bidi="ar"/>
        </w:rPr>
        <w:t>，</w:t>
      </w:r>
      <w:r>
        <w:rPr>
          <w:rFonts w:ascii="仿宋_GB2312" w:hAnsi="仿宋_GB2312" w:eastAsia="仿宋_GB2312" w:cs="仿宋_GB2312"/>
          <w:color w:val="000000"/>
          <w:kern w:val="0"/>
          <w:sz w:val="32"/>
          <w:szCs w:val="32"/>
          <w:lang w:val="en-US" w:eastAsia="zh-CN" w:bidi="ar"/>
        </w:rPr>
        <w:t>推进事故整改工作高质量完成。</w:t>
      </w:r>
    </w:p>
    <w:p w14:paraId="3A0C1851">
      <w:pPr>
        <w:keepNext w:val="0"/>
        <w:keepLines w:val="0"/>
        <w:pageBreakBefore w:val="0"/>
        <w:widowControl/>
        <w:suppressLineNumbers w:val="0"/>
        <w:wordWrap/>
        <w:overflowPunct/>
        <w:topLinePunct w:val="0"/>
        <w:bidi w:val="0"/>
        <w:spacing w:line="560" w:lineRule="exact"/>
        <w:ind w:firstLine="640" w:firstLineChars="200"/>
        <w:jc w:val="left"/>
        <w:rPr>
          <w:rFonts w:ascii="仿宋" w:hAnsi="仿宋" w:eastAsia="仿宋" w:cs="仿宋"/>
          <w:snapToGrid w:val="0"/>
          <w:color w:val="000000"/>
          <w:spacing w:val="3"/>
          <w:kern w:val="0"/>
          <w:sz w:val="31"/>
          <w:szCs w:val="31"/>
          <w:lang w:val="en-US" w:eastAsia="en-US" w:bidi="ar-SA"/>
        </w:rPr>
      </w:pPr>
      <w:r>
        <w:rPr>
          <w:rFonts w:ascii="仿宋_GB2312" w:hAnsi="仿宋_GB2312" w:eastAsia="仿宋_GB2312" w:cs="仿宋_GB2312"/>
          <w:color w:val="000000"/>
          <w:kern w:val="0"/>
          <w:sz w:val="32"/>
          <w:szCs w:val="32"/>
          <w:lang w:val="en-US" w:eastAsia="zh-CN" w:bidi="ar"/>
        </w:rPr>
        <w:t>（三）强化安全生产宣传实效。切实加强安全生产宣传引导</w:t>
      </w:r>
      <w:r>
        <w:rPr>
          <w:rFonts w:hint="eastAsia" w:ascii="仿宋_GB2312" w:hAnsi="仿宋_GB2312" w:eastAsia="仿宋_GB2312" w:cs="仿宋_GB2312"/>
          <w:color w:val="000000"/>
          <w:kern w:val="0"/>
          <w:sz w:val="32"/>
          <w:szCs w:val="32"/>
          <w:lang w:val="en-US" w:eastAsia="zh-CN" w:bidi="ar"/>
        </w:rPr>
        <w:t>，</w:t>
      </w:r>
      <w:r>
        <w:rPr>
          <w:rFonts w:ascii="仿宋_GB2312" w:hAnsi="仿宋_GB2312" w:eastAsia="仿宋_GB2312" w:cs="仿宋_GB2312"/>
          <w:color w:val="000000"/>
          <w:kern w:val="0"/>
          <w:sz w:val="32"/>
          <w:szCs w:val="32"/>
          <w:lang w:val="en-US" w:eastAsia="zh-CN" w:bidi="ar"/>
        </w:rPr>
        <w:t>通过各种奖励措施，激励一线员工主动学习安全生产知识的热情，确保学习取得实效。同时，充分借助各类新闻媒体渠道，加强宣传报道，通过剖析典型案例，以案说法，进一步提升作业人员的安全生产意识。</w:t>
      </w:r>
    </w:p>
    <w:p w14:paraId="57E73B8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31964DF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附件</w:t>
      </w:r>
      <w:r>
        <w:rPr>
          <w:rFonts w:hint="eastAsia" w:ascii="仿宋_GB2312" w:hAnsi="仿宋_GB2312" w:eastAsia="仿宋_GB2312" w:cs="仿宋_GB2312"/>
          <w:b w:val="0"/>
          <w:bCs w:val="0"/>
          <w:color w:val="auto"/>
          <w:kern w:val="0"/>
          <w:sz w:val="32"/>
          <w:szCs w:val="32"/>
          <w:lang w:val="en-US" w:eastAsia="zh-CN" w:bidi="ar"/>
        </w:rPr>
        <w:t>：</w:t>
      </w:r>
      <w:r>
        <w:rPr>
          <w:rFonts w:hint="eastAsia" w:ascii="仿宋_GB2312" w:hAnsi="仿宋_GB2312" w:eastAsia="仿宋_GB2312" w:cs="仿宋_GB2312"/>
          <w:b w:val="0"/>
          <w:bCs w:val="0"/>
          <w:color w:val="auto"/>
          <w:kern w:val="0"/>
          <w:sz w:val="32"/>
          <w:szCs w:val="32"/>
          <w:lang w:val="en-US" w:eastAsia="en-US" w:bidi="ar"/>
        </w:rPr>
        <w:t>1.</w:t>
      </w:r>
      <w:r>
        <w:rPr>
          <w:rFonts w:hint="eastAsia" w:ascii="仿宋_GB2312" w:hAnsi="仿宋_GB2312" w:eastAsia="仿宋_GB2312" w:cs="仿宋_GB2312"/>
          <w:b w:val="0"/>
          <w:bCs w:val="0"/>
          <w:color w:val="auto"/>
          <w:kern w:val="0"/>
          <w:sz w:val="32"/>
          <w:szCs w:val="32"/>
          <w:lang w:val="en-US" w:eastAsia="zh-CN" w:bidi="ar"/>
        </w:rPr>
        <w:t>瑶海安徽皖信人力资源管理有限公司“12•28”一般高处坠落事故</w:t>
      </w:r>
      <w:r>
        <w:rPr>
          <w:rFonts w:hint="eastAsia" w:ascii="仿宋_GB2312" w:hAnsi="仿宋_GB2312" w:eastAsia="仿宋_GB2312" w:cs="仿宋_GB2312"/>
          <w:b w:val="0"/>
          <w:bCs w:val="0"/>
          <w:color w:val="auto"/>
          <w:kern w:val="0"/>
          <w:sz w:val="32"/>
          <w:szCs w:val="32"/>
          <w:lang w:val="en-US" w:eastAsia="en-US" w:bidi="ar"/>
        </w:rPr>
        <w:t>防范和整改措施落实情况评估工作组名单</w:t>
      </w:r>
    </w:p>
    <w:p w14:paraId="39629A39">
      <w:pPr>
        <w:keepNext w:val="0"/>
        <w:keepLines w:val="0"/>
        <w:pageBreakBefore w:val="0"/>
        <w:widowControl/>
        <w:kinsoku w:val="0"/>
        <w:wordWrap/>
        <w:overflowPunct/>
        <w:topLinePunct w:val="0"/>
        <w:autoSpaceDE w:val="0"/>
        <w:autoSpaceDN w:val="0"/>
        <w:bidi w:val="0"/>
        <w:adjustRightInd w:val="0"/>
        <w:snapToGrid w:val="0"/>
        <w:spacing w:line="560" w:lineRule="exact"/>
        <w:ind w:firstLine="960" w:firstLineChars="3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2.瑶海安徽皖信人力资源管理有限公司“12•28”一般高处坠落事故</w:t>
      </w:r>
      <w:r>
        <w:rPr>
          <w:rFonts w:hint="eastAsia" w:ascii="仿宋_GB2312" w:hAnsi="仿宋_GB2312" w:eastAsia="仿宋_GB2312" w:cs="仿宋_GB2312"/>
          <w:b w:val="0"/>
          <w:bCs w:val="0"/>
          <w:color w:val="auto"/>
          <w:kern w:val="0"/>
          <w:sz w:val="32"/>
          <w:szCs w:val="32"/>
          <w:lang w:val="en-US" w:eastAsia="en-US" w:bidi="ar"/>
        </w:rPr>
        <w:t>防范和整改措施落实情况评估表</w:t>
      </w:r>
    </w:p>
    <w:p w14:paraId="53B5D5ED">
      <w:pPr>
        <w:keepNext w:val="0"/>
        <w:keepLines w:val="0"/>
        <w:pageBreakBefore w:val="0"/>
        <w:widowControl/>
        <w:kinsoku w:val="0"/>
        <w:wordWrap/>
        <w:overflowPunct/>
        <w:topLinePunct w:val="0"/>
        <w:autoSpaceDE w:val="0"/>
        <w:autoSpaceDN w:val="0"/>
        <w:bidi w:val="0"/>
        <w:adjustRightInd w:val="0"/>
        <w:snapToGrid w:val="0"/>
        <w:spacing w:line="560" w:lineRule="exact"/>
        <w:ind w:firstLine="960" w:firstLineChars="3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3.</w:t>
      </w:r>
      <w:r>
        <w:rPr>
          <w:rFonts w:hint="eastAsia" w:ascii="仿宋_GB2312" w:hAnsi="仿宋_GB2312" w:eastAsia="仿宋_GB2312" w:cs="仿宋_GB2312"/>
          <w:b w:val="0"/>
          <w:bCs w:val="0"/>
          <w:color w:val="auto"/>
          <w:kern w:val="0"/>
          <w:sz w:val="32"/>
          <w:szCs w:val="32"/>
          <w:lang w:val="en-US" w:eastAsia="zh-CN" w:bidi="ar"/>
        </w:rPr>
        <w:t>瑶海安徽皖信人力资源管理有限公司“12•28”一般高处坠落事故</w:t>
      </w:r>
      <w:r>
        <w:rPr>
          <w:rFonts w:hint="eastAsia" w:ascii="仿宋_GB2312" w:hAnsi="仿宋_GB2312" w:eastAsia="仿宋_GB2312" w:cs="仿宋_GB2312"/>
          <w:b w:val="0"/>
          <w:bCs w:val="0"/>
          <w:color w:val="auto"/>
          <w:kern w:val="0"/>
          <w:sz w:val="32"/>
          <w:szCs w:val="32"/>
          <w:lang w:val="en-US" w:eastAsia="en-US" w:bidi="ar"/>
        </w:rPr>
        <w:t>防范和整改措施落实情况表</w:t>
      </w:r>
    </w:p>
    <w:p w14:paraId="49408867">
      <w:pPr>
        <w:keepNext w:val="0"/>
        <w:keepLines w:val="0"/>
        <w:pageBreakBefore w:val="0"/>
        <w:widowControl/>
        <w:kinsoku w:val="0"/>
        <w:wordWrap/>
        <w:overflowPunct/>
        <w:topLinePunct w:val="0"/>
        <w:autoSpaceDE w:val="0"/>
        <w:autoSpaceDN w:val="0"/>
        <w:bidi w:val="0"/>
        <w:adjustRightInd w:val="0"/>
        <w:snapToGrid w:val="0"/>
        <w:spacing w:line="560" w:lineRule="exact"/>
        <w:ind w:firstLine="960" w:firstLineChars="3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4.瑶海安徽皖信人力资源管理有限公司“12•28”一般高处坠落事故</w:t>
      </w:r>
      <w:r>
        <w:rPr>
          <w:rFonts w:hint="eastAsia" w:ascii="仿宋_GB2312" w:hAnsi="仿宋_GB2312" w:eastAsia="仿宋_GB2312" w:cs="仿宋_GB2312"/>
          <w:b w:val="0"/>
          <w:bCs w:val="0"/>
          <w:color w:val="auto"/>
          <w:kern w:val="0"/>
          <w:sz w:val="32"/>
          <w:szCs w:val="32"/>
          <w:lang w:val="en-US" w:eastAsia="en-US" w:bidi="ar"/>
        </w:rPr>
        <w:t>防范和整改措施落实情况</w:t>
      </w:r>
      <w:r>
        <w:rPr>
          <w:rFonts w:hint="eastAsia" w:ascii="仿宋_GB2312" w:hAnsi="仿宋_GB2312" w:eastAsia="仿宋_GB2312" w:cs="仿宋_GB2312"/>
          <w:b w:val="0"/>
          <w:bCs w:val="0"/>
          <w:color w:val="auto"/>
          <w:kern w:val="0"/>
          <w:sz w:val="32"/>
          <w:szCs w:val="32"/>
          <w:lang w:val="en-US" w:eastAsia="zh-CN" w:bidi="ar"/>
        </w:rPr>
        <w:t>签到</w:t>
      </w:r>
      <w:r>
        <w:rPr>
          <w:rFonts w:hint="eastAsia" w:ascii="仿宋_GB2312" w:hAnsi="仿宋_GB2312" w:eastAsia="仿宋_GB2312" w:cs="仿宋_GB2312"/>
          <w:b w:val="0"/>
          <w:bCs w:val="0"/>
          <w:color w:val="auto"/>
          <w:kern w:val="0"/>
          <w:sz w:val="32"/>
          <w:szCs w:val="32"/>
          <w:lang w:val="en-US" w:eastAsia="en-US" w:bidi="ar"/>
        </w:rPr>
        <w:t>表</w:t>
      </w:r>
    </w:p>
    <w:p w14:paraId="377B2F3C">
      <w:pPr>
        <w:keepNext w:val="0"/>
        <w:keepLines w:val="0"/>
        <w:pageBreakBefore w:val="0"/>
        <w:widowControl/>
        <w:kinsoku w:val="0"/>
        <w:wordWrap/>
        <w:overflowPunct/>
        <w:topLinePunct w:val="0"/>
        <w:autoSpaceDE w:val="0"/>
        <w:autoSpaceDN w:val="0"/>
        <w:bidi w:val="0"/>
        <w:adjustRightInd w:val="0"/>
        <w:snapToGrid w:val="0"/>
        <w:spacing w:line="560" w:lineRule="exact"/>
        <w:ind w:firstLine="960" w:firstLineChars="300"/>
        <w:jc w:val="left"/>
        <w:textAlignment w:val="baseline"/>
        <w:outlineLvl w:val="0"/>
        <w:rPr>
          <w:rFonts w:hint="default"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5.现场检查照片</w:t>
      </w:r>
    </w:p>
    <w:p w14:paraId="6257096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06B5B68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47CD707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right"/>
        <w:textAlignment w:val="baseline"/>
        <w:outlineLvl w:val="0"/>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 xml:space="preserve">     瑶海安徽皖信人力资源管理有限公司“12·28”一般高处坠落事故</w:t>
      </w:r>
      <w:r>
        <w:rPr>
          <w:rFonts w:hint="eastAsia" w:ascii="仿宋_GB2312" w:hAnsi="仿宋_GB2312" w:eastAsia="仿宋_GB2312" w:cs="仿宋_GB2312"/>
          <w:b w:val="0"/>
          <w:bCs w:val="0"/>
          <w:color w:val="auto"/>
          <w:kern w:val="0"/>
          <w:sz w:val="32"/>
          <w:szCs w:val="32"/>
          <w:lang w:val="en-US" w:eastAsia="en-US" w:bidi="ar"/>
        </w:rPr>
        <w:t>防范和整改措施</w:t>
      </w:r>
      <w:r>
        <w:rPr>
          <w:rFonts w:hint="eastAsia" w:ascii="仿宋_GB2312" w:hAnsi="仿宋_GB2312" w:eastAsia="仿宋_GB2312" w:cs="仿宋_GB2312"/>
          <w:b w:val="0"/>
          <w:bCs w:val="0"/>
          <w:color w:val="auto"/>
          <w:kern w:val="0"/>
          <w:sz w:val="32"/>
          <w:szCs w:val="32"/>
          <w:lang w:val="en-US" w:eastAsia="zh-CN" w:bidi="ar"/>
        </w:rPr>
        <w:t>实</w:t>
      </w:r>
      <w:r>
        <w:rPr>
          <w:rFonts w:hint="eastAsia" w:ascii="仿宋_GB2312" w:hAnsi="仿宋_GB2312" w:eastAsia="仿宋_GB2312" w:cs="仿宋_GB2312"/>
          <w:b w:val="0"/>
          <w:bCs w:val="0"/>
          <w:color w:val="auto"/>
          <w:kern w:val="0"/>
          <w:sz w:val="32"/>
          <w:szCs w:val="32"/>
          <w:lang w:val="en-US" w:eastAsia="en-US" w:bidi="ar"/>
        </w:rPr>
        <w:t>情况评估工作组</w:t>
      </w:r>
    </w:p>
    <w:p w14:paraId="073CBC1C">
      <w:pPr>
        <w:keepNext w:val="0"/>
        <w:keepLines w:val="0"/>
        <w:pageBreakBefore w:val="0"/>
        <w:widowControl/>
        <w:kinsoku w:val="0"/>
        <w:wordWrap/>
        <w:overflowPunct/>
        <w:topLinePunct w:val="0"/>
        <w:autoSpaceDE w:val="0"/>
        <w:autoSpaceDN w:val="0"/>
        <w:bidi w:val="0"/>
        <w:adjustRightInd w:val="0"/>
        <w:snapToGrid w:val="0"/>
        <w:spacing w:line="560" w:lineRule="exact"/>
        <w:ind w:firstLine="5760" w:firstLineChars="1800"/>
        <w:jc w:val="left"/>
        <w:textAlignment w:val="baseline"/>
        <w:outlineLvl w:val="0"/>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2026年1月19日</w:t>
      </w:r>
    </w:p>
    <w:p w14:paraId="2520686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7F7B6A1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5A97B6F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676829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3A01EC6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536053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48AD82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520838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800" w:firstLineChars="1500"/>
        <w:jc w:val="both"/>
        <w:textAlignment w:val="baseline"/>
        <w:outlineLvl w:val="1"/>
        <w:rPr>
          <w:rFonts w:hint="eastAsia" w:ascii="仿宋" w:hAnsi="仿宋" w:eastAsia="仿宋" w:cs="仿宋"/>
          <w:snapToGrid w:val="0"/>
          <w:color w:val="000000"/>
          <w:spacing w:val="5"/>
          <w:kern w:val="0"/>
          <w:sz w:val="31"/>
          <w:szCs w:val="31"/>
          <w:lang w:val="en-US" w:eastAsia="zh-CN" w:bidi="ar-SA"/>
        </w:rPr>
      </w:pPr>
    </w:p>
    <w:p w14:paraId="5EFE8632">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ascii="黑体" w:hAnsi="黑体" w:eastAsia="黑体" w:cs="黑体"/>
          <w:b/>
          <w:bCs/>
          <w:snapToGrid w:val="0"/>
          <w:color w:val="000000"/>
          <w:spacing w:val="-1"/>
          <w:kern w:val="0"/>
          <w:sz w:val="32"/>
          <w:szCs w:val="32"/>
          <w:lang w:eastAsia="en-US"/>
        </w:rPr>
      </w:pPr>
    </w:p>
    <w:p w14:paraId="7D1E320D">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ascii="黑体" w:hAnsi="黑体" w:eastAsia="黑体" w:cs="黑体"/>
          <w:b/>
          <w:bCs/>
          <w:snapToGrid w:val="0"/>
          <w:color w:val="000000"/>
          <w:spacing w:val="-1"/>
          <w:kern w:val="0"/>
          <w:sz w:val="32"/>
          <w:szCs w:val="32"/>
          <w:lang w:eastAsia="en-US"/>
        </w:rPr>
      </w:pPr>
    </w:p>
    <w:p w14:paraId="6F2FEACF">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ascii="黑体" w:hAnsi="黑体" w:eastAsia="黑体" w:cs="黑体"/>
          <w:b/>
          <w:bCs/>
          <w:snapToGrid w:val="0"/>
          <w:color w:val="000000"/>
          <w:spacing w:val="-1"/>
          <w:kern w:val="0"/>
          <w:sz w:val="32"/>
          <w:szCs w:val="32"/>
          <w:lang w:eastAsia="en-US"/>
        </w:rPr>
      </w:pPr>
    </w:p>
    <w:p w14:paraId="10D86181">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snapToGrid w:val="0"/>
          <w:color w:val="000000"/>
          <w:kern w:val="0"/>
          <w:sz w:val="32"/>
          <w:szCs w:val="32"/>
          <w:lang w:val="en-US" w:eastAsia="zh-CN"/>
        </w:rPr>
      </w:pPr>
      <w:r>
        <w:rPr>
          <w:rFonts w:ascii="黑体" w:hAnsi="黑体" w:eastAsia="黑体" w:cs="黑体"/>
          <w:b/>
          <w:bCs/>
          <w:snapToGrid w:val="0"/>
          <w:color w:val="000000"/>
          <w:spacing w:val="-1"/>
          <w:kern w:val="0"/>
          <w:sz w:val="32"/>
          <w:szCs w:val="32"/>
          <w:lang w:eastAsia="en-US"/>
        </w:rPr>
        <w:t>附件</w:t>
      </w:r>
      <w:r>
        <w:rPr>
          <w:rFonts w:hint="eastAsia" w:ascii="黑体" w:hAnsi="黑体" w:eastAsia="黑体" w:cs="黑体"/>
          <w:b/>
          <w:bCs/>
          <w:snapToGrid w:val="0"/>
          <w:color w:val="000000"/>
          <w:spacing w:val="-1"/>
          <w:kern w:val="0"/>
          <w:sz w:val="32"/>
          <w:szCs w:val="32"/>
          <w:lang w:val="en-US" w:eastAsia="zh-CN"/>
        </w:rPr>
        <w:t>1</w:t>
      </w:r>
    </w:p>
    <w:p w14:paraId="2A9C04E4">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lang w:eastAsia="en-US"/>
        </w:rPr>
      </w:pPr>
    </w:p>
    <w:p w14:paraId="73999490">
      <w:pPr>
        <w:keepNext w:val="0"/>
        <w:keepLines w:val="0"/>
        <w:pageBreakBefore w:val="0"/>
        <w:kinsoku w:val="0"/>
        <w:wordWrap/>
        <w:overflowPunct/>
        <w:topLinePunct w:val="0"/>
        <w:autoSpaceDE w:val="0"/>
        <w:autoSpaceDN w:val="0"/>
        <w:bidi w:val="0"/>
        <w:adjustRightInd w:val="0"/>
        <w:snapToGrid w:val="0"/>
        <w:spacing w:before="100" w:line="560" w:lineRule="exact"/>
        <w:ind w:firstLine="880" w:firstLineChars="200"/>
        <w:jc w:val="left"/>
        <w:textAlignment w:val="baseline"/>
        <w:rPr>
          <w:rFonts w:hint="eastAsia" w:ascii="方正小标宋简体" w:hAnsi="方正小标宋简体" w:eastAsia="方正小标宋简体" w:cs="方正小标宋简体"/>
          <w:snapToGrid w:val="0"/>
          <w:color w:val="000000"/>
          <w:kern w:val="0"/>
          <w:sz w:val="44"/>
          <w:szCs w:val="44"/>
          <w:lang w:val="en-US" w:eastAsia="en-US" w:bidi="ar-SA"/>
        </w:rPr>
      </w:pPr>
      <w:r>
        <w:rPr>
          <w:rFonts w:hint="eastAsia" w:ascii="方正小标宋简体" w:hAnsi="方正小标宋简体" w:eastAsia="方正小标宋简体" w:cs="方正小标宋简体"/>
          <w:sz w:val="44"/>
          <w:szCs w:val="44"/>
          <w:lang w:val="en-US" w:eastAsia="zh-CN"/>
        </w:rPr>
        <w:t>瑶海安徽皖信人力资源管理有限公司“12•28”一般高处坠落事故</w:t>
      </w:r>
      <w:r>
        <w:rPr>
          <w:rFonts w:hint="eastAsia" w:ascii="方正小标宋简体" w:hAnsi="方正小标宋简体" w:eastAsia="方正小标宋简体" w:cs="方正小标宋简体"/>
          <w:snapToGrid w:val="0"/>
          <w:color w:val="000000"/>
          <w:spacing w:val="18"/>
          <w:kern w:val="0"/>
          <w:sz w:val="44"/>
          <w:szCs w:val="44"/>
          <w:lang w:val="en-US" w:eastAsia="en-US" w:bidi="ar-SA"/>
        </w:rPr>
        <w:t>防范和整改措施落实情况评估工</w:t>
      </w:r>
      <w:r>
        <w:rPr>
          <w:rFonts w:hint="eastAsia" w:ascii="方正小标宋简体" w:hAnsi="方正小标宋简体" w:eastAsia="方正小标宋简体" w:cs="方正小标宋简体"/>
          <w:snapToGrid w:val="0"/>
          <w:color w:val="000000"/>
          <w:spacing w:val="5"/>
          <w:kern w:val="0"/>
          <w:sz w:val="44"/>
          <w:szCs w:val="44"/>
          <w:lang w:val="en-US" w:eastAsia="en-US" w:bidi="ar-SA"/>
        </w:rPr>
        <w:t>作组名单</w:t>
      </w:r>
    </w:p>
    <w:p w14:paraId="2BC4C991">
      <w:pPr>
        <w:keepNext w:val="0"/>
        <w:keepLines w:val="0"/>
        <w:pageBreakBefore w:val="0"/>
        <w:widowControl/>
        <w:kinsoku w:val="0"/>
        <w:wordWrap/>
        <w:overflowPunct/>
        <w:topLinePunct w:val="0"/>
        <w:autoSpaceDE w:val="0"/>
        <w:autoSpaceDN w:val="0"/>
        <w:bidi w:val="0"/>
        <w:adjustRightInd w:val="0"/>
        <w:snapToGrid w:val="0"/>
        <w:spacing w:before="2" w:line="560" w:lineRule="exact"/>
        <w:jc w:val="left"/>
        <w:textAlignment w:val="baseline"/>
        <w:rPr>
          <w:rFonts w:ascii="Arial" w:hAnsi="Arial" w:eastAsia="Arial" w:cs="Arial"/>
          <w:snapToGrid w:val="0"/>
          <w:color w:val="000000"/>
          <w:kern w:val="0"/>
          <w:szCs w:val="21"/>
          <w:lang w:eastAsia="en-US"/>
        </w:rPr>
      </w:pPr>
    </w:p>
    <w:p w14:paraId="20DE93E2">
      <w:pPr>
        <w:keepNext w:val="0"/>
        <w:keepLines w:val="0"/>
        <w:pageBreakBefore w:val="0"/>
        <w:widowControl/>
        <w:kinsoku w:val="0"/>
        <w:wordWrap/>
        <w:overflowPunct/>
        <w:topLinePunct w:val="0"/>
        <w:autoSpaceDE w:val="0"/>
        <w:autoSpaceDN w:val="0"/>
        <w:bidi w:val="0"/>
        <w:adjustRightInd w:val="0"/>
        <w:snapToGrid w:val="0"/>
        <w:spacing w:before="2" w:line="560" w:lineRule="exact"/>
        <w:jc w:val="left"/>
        <w:textAlignment w:val="baseline"/>
        <w:rPr>
          <w:rFonts w:ascii="Arial" w:hAnsi="Arial" w:eastAsia="Arial" w:cs="Arial"/>
          <w:snapToGrid w:val="0"/>
          <w:color w:val="000000"/>
          <w:kern w:val="0"/>
          <w:szCs w:val="21"/>
          <w:lang w:eastAsia="en-US"/>
        </w:rPr>
      </w:pPr>
    </w:p>
    <w:tbl>
      <w:tblPr>
        <w:tblStyle w:val="9"/>
        <w:tblW w:w="9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3"/>
        <w:gridCol w:w="1788"/>
        <w:gridCol w:w="5649"/>
      </w:tblGrid>
      <w:tr w14:paraId="55848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1643" w:type="dxa"/>
            <w:vAlign w:val="top"/>
          </w:tcPr>
          <w:p w14:paraId="2D18CAF0">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评估组</w:t>
            </w:r>
          </w:p>
        </w:tc>
        <w:tc>
          <w:tcPr>
            <w:tcW w:w="1788" w:type="dxa"/>
            <w:vAlign w:val="top"/>
          </w:tcPr>
          <w:p w14:paraId="5A6441AB">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姓名</w:t>
            </w:r>
          </w:p>
        </w:tc>
        <w:tc>
          <w:tcPr>
            <w:tcW w:w="5649" w:type="dxa"/>
            <w:vAlign w:val="top"/>
          </w:tcPr>
          <w:p w14:paraId="4449D0F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职务</w:t>
            </w:r>
          </w:p>
        </w:tc>
      </w:tr>
      <w:tr w14:paraId="36161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643" w:type="dxa"/>
            <w:vAlign w:val="top"/>
          </w:tcPr>
          <w:p w14:paraId="7F4865CE">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组长</w:t>
            </w:r>
          </w:p>
        </w:tc>
        <w:tc>
          <w:tcPr>
            <w:tcW w:w="1788" w:type="dxa"/>
            <w:vAlign w:val="top"/>
          </w:tcPr>
          <w:p w14:paraId="0268B26B">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董明强</w:t>
            </w:r>
          </w:p>
        </w:tc>
        <w:tc>
          <w:tcPr>
            <w:tcW w:w="5649" w:type="dxa"/>
            <w:shd w:val="clear" w:color="auto" w:fill="auto"/>
            <w:vAlign w:val="top"/>
          </w:tcPr>
          <w:p w14:paraId="2868DA32">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区应急管理局党委委员、副局长</w:t>
            </w:r>
          </w:p>
        </w:tc>
      </w:tr>
      <w:tr w14:paraId="14C9C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643" w:type="dxa"/>
            <w:vMerge w:val="restart"/>
            <w:tcBorders>
              <w:bottom w:val="nil"/>
            </w:tcBorders>
            <w:vAlign w:val="top"/>
          </w:tcPr>
          <w:p w14:paraId="58911FFA">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13D48B5C">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39E481FC">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成员</w:t>
            </w:r>
          </w:p>
        </w:tc>
        <w:tc>
          <w:tcPr>
            <w:tcW w:w="1788" w:type="dxa"/>
            <w:vAlign w:val="top"/>
          </w:tcPr>
          <w:p w14:paraId="66BBE3D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王学龙</w:t>
            </w:r>
          </w:p>
        </w:tc>
        <w:tc>
          <w:tcPr>
            <w:tcW w:w="5649" w:type="dxa"/>
            <w:vAlign w:val="top"/>
          </w:tcPr>
          <w:p w14:paraId="7D6AE9D3">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en-US" w:bidi="ar"/>
              </w:rPr>
              <w:t>区市场监管局</w:t>
            </w:r>
            <w:r>
              <w:rPr>
                <w:rFonts w:hint="eastAsia" w:ascii="仿宋_GB2312" w:hAnsi="仿宋_GB2312" w:eastAsia="仿宋_GB2312" w:cs="仿宋_GB2312"/>
                <w:b w:val="0"/>
                <w:bCs w:val="0"/>
                <w:color w:val="auto"/>
                <w:kern w:val="0"/>
                <w:sz w:val="32"/>
                <w:szCs w:val="32"/>
                <w:lang w:val="en-US" w:eastAsia="zh-CN" w:bidi="ar"/>
              </w:rPr>
              <w:t>工作人员</w:t>
            </w:r>
          </w:p>
        </w:tc>
      </w:tr>
      <w:tr w14:paraId="0AA8B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643" w:type="dxa"/>
            <w:vMerge w:val="continue"/>
            <w:tcBorders>
              <w:top w:val="nil"/>
              <w:bottom w:val="nil"/>
            </w:tcBorders>
            <w:vAlign w:val="top"/>
          </w:tcPr>
          <w:p w14:paraId="2F4D9855">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tc>
        <w:tc>
          <w:tcPr>
            <w:tcW w:w="1788" w:type="dxa"/>
            <w:vAlign w:val="top"/>
          </w:tcPr>
          <w:p w14:paraId="30D7C7C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阮浩</w:t>
            </w:r>
          </w:p>
        </w:tc>
        <w:tc>
          <w:tcPr>
            <w:tcW w:w="5649" w:type="dxa"/>
            <w:vAlign w:val="top"/>
          </w:tcPr>
          <w:p w14:paraId="14BA796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en-US" w:bidi="ar"/>
              </w:rPr>
              <w:t>区商务局</w:t>
            </w:r>
            <w:r>
              <w:rPr>
                <w:rFonts w:hint="eastAsia" w:ascii="仿宋_GB2312" w:hAnsi="仿宋_GB2312" w:eastAsia="仿宋_GB2312" w:cs="仿宋_GB2312"/>
                <w:b w:val="0"/>
                <w:bCs w:val="0"/>
                <w:color w:val="auto"/>
                <w:kern w:val="0"/>
                <w:sz w:val="32"/>
                <w:szCs w:val="32"/>
                <w:lang w:val="en-US" w:eastAsia="zh-CN" w:bidi="ar"/>
              </w:rPr>
              <w:t>工作人员</w:t>
            </w:r>
          </w:p>
        </w:tc>
      </w:tr>
      <w:tr w14:paraId="2D2DB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1643" w:type="dxa"/>
            <w:vMerge w:val="continue"/>
            <w:tcBorders>
              <w:top w:val="nil"/>
              <w:bottom w:val="nil"/>
            </w:tcBorders>
            <w:vAlign w:val="top"/>
          </w:tcPr>
          <w:p w14:paraId="0421AFE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tc>
        <w:tc>
          <w:tcPr>
            <w:tcW w:w="1788" w:type="dxa"/>
            <w:vAlign w:val="top"/>
          </w:tcPr>
          <w:p w14:paraId="386BEF75">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张韶龙</w:t>
            </w:r>
          </w:p>
        </w:tc>
        <w:tc>
          <w:tcPr>
            <w:tcW w:w="5649" w:type="dxa"/>
            <w:vAlign w:val="top"/>
          </w:tcPr>
          <w:p w14:paraId="19C35A15">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区应急管理局执法大队大队长</w:t>
            </w:r>
          </w:p>
        </w:tc>
      </w:tr>
      <w:tr w14:paraId="37FA3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643" w:type="dxa"/>
            <w:vMerge w:val="continue"/>
            <w:tcBorders>
              <w:top w:val="nil"/>
              <w:bottom w:val="nil"/>
            </w:tcBorders>
            <w:vAlign w:val="top"/>
          </w:tcPr>
          <w:p w14:paraId="0C0FB74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tc>
        <w:tc>
          <w:tcPr>
            <w:tcW w:w="1788" w:type="dxa"/>
            <w:vAlign w:val="top"/>
          </w:tcPr>
          <w:p w14:paraId="6894139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徐王先</w:t>
            </w:r>
          </w:p>
        </w:tc>
        <w:tc>
          <w:tcPr>
            <w:tcW w:w="5649" w:type="dxa"/>
            <w:vAlign w:val="top"/>
          </w:tcPr>
          <w:p w14:paraId="024E0B0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区应急管理局执法大队队员</w:t>
            </w:r>
          </w:p>
        </w:tc>
      </w:tr>
      <w:tr w14:paraId="66B83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1643" w:type="dxa"/>
            <w:vMerge w:val="continue"/>
            <w:tcBorders>
              <w:top w:val="nil"/>
            </w:tcBorders>
            <w:vAlign w:val="top"/>
          </w:tcPr>
          <w:p w14:paraId="495BCDE9">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tc>
        <w:tc>
          <w:tcPr>
            <w:tcW w:w="1788" w:type="dxa"/>
            <w:vAlign w:val="top"/>
          </w:tcPr>
          <w:p w14:paraId="0E7338B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干权</w:t>
            </w:r>
          </w:p>
        </w:tc>
        <w:tc>
          <w:tcPr>
            <w:tcW w:w="5649" w:type="dxa"/>
            <w:vAlign w:val="top"/>
          </w:tcPr>
          <w:p w14:paraId="188A0C4C">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en-US" w:bidi="ar"/>
              </w:rPr>
              <w:t>大兴镇政府</w:t>
            </w:r>
            <w:r>
              <w:rPr>
                <w:rFonts w:hint="eastAsia" w:ascii="仿宋_GB2312" w:hAnsi="仿宋_GB2312" w:eastAsia="仿宋_GB2312" w:cs="仿宋_GB2312"/>
                <w:b w:val="0"/>
                <w:bCs w:val="0"/>
                <w:color w:val="auto"/>
                <w:kern w:val="0"/>
                <w:sz w:val="32"/>
                <w:szCs w:val="32"/>
                <w:lang w:val="en-US" w:eastAsia="zh-CN" w:bidi="ar"/>
              </w:rPr>
              <w:t>应急办副主任</w:t>
            </w:r>
          </w:p>
        </w:tc>
      </w:tr>
    </w:tbl>
    <w:p w14:paraId="092450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1"/>
        <w:rPr>
          <w:rFonts w:hint="default" w:ascii="仿宋" w:hAnsi="仿宋" w:eastAsia="仿宋" w:cs="仿宋"/>
          <w:snapToGrid w:val="0"/>
          <w:color w:val="000000"/>
          <w:spacing w:val="5"/>
          <w:kern w:val="0"/>
          <w:sz w:val="31"/>
          <w:szCs w:val="31"/>
          <w:lang w:val="en-US" w:eastAsia="zh-CN" w:bidi="ar-SA"/>
        </w:rPr>
      </w:pPr>
    </w:p>
    <w:p w14:paraId="598733B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1"/>
        <w:rPr>
          <w:rFonts w:hint="default" w:ascii="仿宋" w:hAnsi="仿宋" w:eastAsia="仿宋" w:cs="仿宋"/>
          <w:snapToGrid w:val="0"/>
          <w:color w:val="000000"/>
          <w:spacing w:val="5"/>
          <w:kern w:val="0"/>
          <w:sz w:val="31"/>
          <w:szCs w:val="31"/>
          <w:lang w:val="en-US" w:eastAsia="zh-CN" w:bidi="ar-SA"/>
        </w:rPr>
      </w:pPr>
    </w:p>
    <w:p w14:paraId="4CF69C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1"/>
        <w:rPr>
          <w:rFonts w:hint="default" w:ascii="仿宋" w:hAnsi="仿宋" w:eastAsia="仿宋" w:cs="仿宋"/>
          <w:snapToGrid w:val="0"/>
          <w:color w:val="000000"/>
          <w:spacing w:val="5"/>
          <w:kern w:val="0"/>
          <w:sz w:val="31"/>
          <w:szCs w:val="31"/>
          <w:lang w:val="en-US" w:eastAsia="zh-CN" w:bidi="ar-SA"/>
        </w:rPr>
      </w:pPr>
    </w:p>
    <w:p w14:paraId="01C039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1"/>
        <w:rPr>
          <w:rFonts w:hint="default" w:ascii="仿宋" w:hAnsi="仿宋" w:eastAsia="仿宋" w:cs="仿宋"/>
          <w:snapToGrid w:val="0"/>
          <w:color w:val="000000"/>
          <w:spacing w:val="5"/>
          <w:kern w:val="0"/>
          <w:sz w:val="31"/>
          <w:szCs w:val="31"/>
          <w:lang w:val="en-US" w:eastAsia="zh-CN" w:bidi="ar-SA"/>
        </w:rPr>
      </w:pPr>
    </w:p>
    <w:p w14:paraId="4C38EDD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1"/>
        <w:rPr>
          <w:rFonts w:hint="default" w:ascii="仿宋" w:hAnsi="仿宋" w:eastAsia="仿宋" w:cs="仿宋"/>
          <w:snapToGrid w:val="0"/>
          <w:color w:val="000000"/>
          <w:spacing w:val="5"/>
          <w:kern w:val="0"/>
          <w:sz w:val="31"/>
          <w:szCs w:val="31"/>
          <w:lang w:val="en-US" w:eastAsia="zh-CN" w:bidi="ar-SA"/>
        </w:rPr>
      </w:pPr>
    </w:p>
    <w:p w14:paraId="2F282A4B">
      <w:pPr>
        <w:keepNext w:val="0"/>
        <w:keepLines w:val="0"/>
        <w:pageBreakBefore w:val="0"/>
        <w:widowControl/>
        <w:kinsoku w:val="0"/>
        <w:wordWrap/>
        <w:overflowPunct/>
        <w:topLinePunct w:val="0"/>
        <w:autoSpaceDE w:val="0"/>
        <w:autoSpaceDN w:val="0"/>
        <w:bidi w:val="0"/>
        <w:adjustRightInd w:val="0"/>
        <w:snapToGrid w:val="0"/>
        <w:spacing w:before="311" w:line="560" w:lineRule="exact"/>
        <w:ind w:left="229"/>
        <w:jc w:val="left"/>
        <w:textAlignment w:val="baseline"/>
        <w:rPr>
          <w:rFonts w:hint="eastAsia" w:ascii="黑体" w:hAnsi="黑体" w:eastAsia="黑体" w:cs="黑体"/>
          <w:b/>
          <w:bCs/>
          <w:snapToGrid w:val="0"/>
          <w:color w:val="000000"/>
          <w:spacing w:val="-1"/>
          <w:kern w:val="0"/>
          <w:sz w:val="32"/>
          <w:szCs w:val="32"/>
          <w:lang w:val="en-US" w:eastAsia="zh-CN"/>
        </w:rPr>
      </w:pPr>
    </w:p>
    <w:p w14:paraId="156A0F5B">
      <w:pPr>
        <w:keepNext w:val="0"/>
        <w:keepLines w:val="0"/>
        <w:pageBreakBefore w:val="0"/>
        <w:widowControl/>
        <w:kinsoku w:val="0"/>
        <w:wordWrap/>
        <w:overflowPunct/>
        <w:topLinePunct w:val="0"/>
        <w:autoSpaceDE w:val="0"/>
        <w:autoSpaceDN w:val="0"/>
        <w:bidi w:val="0"/>
        <w:adjustRightInd w:val="0"/>
        <w:snapToGrid w:val="0"/>
        <w:spacing w:before="311" w:line="560" w:lineRule="exact"/>
        <w:ind w:left="229"/>
        <w:jc w:val="left"/>
        <w:textAlignment w:val="baseline"/>
        <w:rPr>
          <w:rFonts w:hint="eastAsia" w:ascii="黑体" w:hAnsi="黑体" w:eastAsia="黑体" w:cs="黑体"/>
          <w:b/>
          <w:bCs/>
          <w:snapToGrid w:val="0"/>
          <w:color w:val="000000"/>
          <w:spacing w:val="-1"/>
          <w:kern w:val="0"/>
          <w:sz w:val="32"/>
          <w:szCs w:val="32"/>
          <w:lang w:val="en-US" w:eastAsia="zh-CN"/>
        </w:rPr>
      </w:pPr>
    </w:p>
    <w:p w14:paraId="3EA35C53">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r>
        <w:rPr>
          <w:rFonts w:hint="eastAsia" w:ascii="黑体" w:hAnsi="黑体" w:eastAsia="黑体" w:cs="黑体"/>
          <w:b/>
          <w:bCs/>
          <w:snapToGrid w:val="0"/>
          <w:color w:val="000000"/>
          <w:spacing w:val="-1"/>
          <w:kern w:val="0"/>
          <w:sz w:val="32"/>
          <w:szCs w:val="32"/>
          <w:lang w:val="en-US" w:eastAsia="zh-CN"/>
        </w:rPr>
        <w:t>附件2</w:t>
      </w:r>
    </w:p>
    <w:p w14:paraId="7ACA36EB">
      <w:pPr>
        <w:keepNext w:val="0"/>
        <w:keepLines w:val="0"/>
        <w:pageBreakBefore w:val="0"/>
        <w:kinsoku w:val="0"/>
        <w:wordWrap/>
        <w:overflowPunct/>
        <w:topLinePunct w:val="0"/>
        <w:autoSpaceDE w:val="0"/>
        <w:autoSpaceDN w:val="0"/>
        <w:bidi w:val="0"/>
        <w:adjustRightInd w:val="0"/>
        <w:snapToGrid w:val="0"/>
        <w:spacing w:before="100" w:line="560" w:lineRule="exact"/>
        <w:ind w:firstLine="880" w:firstLineChars="200"/>
        <w:jc w:val="left"/>
        <w:textAlignment w:val="baseline"/>
        <w:rPr>
          <w:rFonts w:hint="eastAsia" w:ascii="方正小标宋简体" w:hAnsi="方正小标宋简体" w:eastAsia="方正小标宋简体" w:cs="方正小标宋简体"/>
          <w:sz w:val="44"/>
          <w:szCs w:val="44"/>
          <w:lang w:val="en-US" w:eastAsia="en-US"/>
        </w:rPr>
      </w:pPr>
      <w:r>
        <w:rPr>
          <w:rFonts w:hint="eastAsia" w:ascii="方正小标宋简体" w:hAnsi="方正小标宋简体" w:eastAsia="方正小标宋简体" w:cs="方正小标宋简体"/>
          <w:sz w:val="44"/>
          <w:szCs w:val="44"/>
          <w:lang w:val="en-US" w:eastAsia="zh-CN"/>
        </w:rPr>
        <w:t>瑶海安徽皖信人力资源管理有限公司“12•28”一般高处坠落事故</w:t>
      </w:r>
      <w:r>
        <w:rPr>
          <w:rFonts w:hint="eastAsia" w:ascii="方正小标宋简体" w:hAnsi="方正小标宋简体" w:eastAsia="方正小标宋简体" w:cs="方正小标宋简体"/>
          <w:sz w:val="44"/>
          <w:szCs w:val="44"/>
          <w:lang w:val="en-US" w:eastAsia="en-US"/>
        </w:rPr>
        <w:t>防范和整改措施</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val="en-US" w:eastAsia="en-US"/>
        </w:rPr>
        <w:t>落实情况评估表</w:t>
      </w:r>
    </w:p>
    <w:p w14:paraId="59EC2028">
      <w:pPr>
        <w:keepNext w:val="0"/>
        <w:keepLines w:val="0"/>
        <w:pageBreakBefore w:val="0"/>
        <w:widowControl/>
        <w:kinsoku w:val="0"/>
        <w:wordWrap/>
        <w:overflowPunct/>
        <w:topLinePunct w:val="0"/>
        <w:autoSpaceDE w:val="0"/>
        <w:autoSpaceDN w:val="0"/>
        <w:bidi w:val="0"/>
        <w:adjustRightInd w:val="0"/>
        <w:snapToGrid w:val="0"/>
        <w:spacing w:line="560" w:lineRule="exact"/>
        <w:ind w:firstLine="3520" w:firstLineChars="1100"/>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评估时间：202</w:t>
      </w:r>
      <w:r>
        <w:rPr>
          <w:rFonts w:hint="eastAsia" w:ascii="仿宋_GB2312" w:hAnsi="仿宋_GB2312" w:eastAsia="仿宋_GB2312" w:cs="仿宋_GB2312"/>
          <w:b w:val="0"/>
          <w:bCs w:val="0"/>
          <w:color w:val="auto"/>
          <w:kern w:val="0"/>
          <w:sz w:val="32"/>
          <w:szCs w:val="32"/>
          <w:lang w:val="en-US" w:eastAsia="zh-CN" w:bidi="ar"/>
        </w:rPr>
        <w:t xml:space="preserve">6 </w:t>
      </w:r>
      <w:r>
        <w:rPr>
          <w:rFonts w:hint="eastAsia" w:ascii="仿宋_GB2312" w:hAnsi="仿宋_GB2312" w:eastAsia="仿宋_GB2312" w:cs="仿宋_GB2312"/>
          <w:b w:val="0"/>
          <w:bCs w:val="0"/>
          <w:color w:val="auto"/>
          <w:kern w:val="0"/>
          <w:sz w:val="32"/>
          <w:szCs w:val="32"/>
          <w:lang w:val="en-US" w:eastAsia="en-US" w:bidi="ar"/>
        </w:rPr>
        <w:t>年</w:t>
      </w:r>
      <w:r>
        <w:rPr>
          <w:rFonts w:hint="eastAsia" w:ascii="仿宋_GB2312" w:hAnsi="仿宋_GB2312" w:eastAsia="仿宋_GB2312" w:cs="仿宋_GB2312"/>
          <w:b w:val="0"/>
          <w:bCs w:val="0"/>
          <w:color w:val="auto"/>
          <w:kern w:val="0"/>
          <w:sz w:val="32"/>
          <w:szCs w:val="32"/>
          <w:lang w:val="en-US" w:eastAsia="zh-CN" w:bidi="ar"/>
        </w:rPr>
        <w:t xml:space="preserve"> 1</w:t>
      </w:r>
      <w:r>
        <w:rPr>
          <w:rFonts w:hint="eastAsia" w:ascii="仿宋_GB2312" w:hAnsi="仿宋_GB2312" w:eastAsia="仿宋_GB2312" w:cs="仿宋_GB2312"/>
          <w:b w:val="0"/>
          <w:bCs w:val="0"/>
          <w:color w:val="auto"/>
          <w:kern w:val="0"/>
          <w:sz w:val="32"/>
          <w:szCs w:val="32"/>
          <w:lang w:val="en-US" w:eastAsia="en-US" w:bidi="ar"/>
        </w:rPr>
        <w:t xml:space="preserve"> 月 1</w:t>
      </w:r>
      <w:r>
        <w:rPr>
          <w:rFonts w:hint="eastAsia" w:ascii="仿宋_GB2312" w:hAnsi="仿宋_GB2312" w:eastAsia="仿宋_GB2312" w:cs="仿宋_GB2312"/>
          <w:b w:val="0"/>
          <w:bCs w:val="0"/>
          <w:color w:val="auto"/>
          <w:kern w:val="0"/>
          <w:sz w:val="32"/>
          <w:szCs w:val="32"/>
          <w:lang w:val="en-US" w:eastAsia="zh-CN" w:bidi="ar"/>
        </w:rPr>
        <w:t xml:space="preserve">6 </w:t>
      </w:r>
      <w:r>
        <w:rPr>
          <w:rFonts w:hint="eastAsia" w:ascii="仿宋_GB2312" w:hAnsi="仿宋_GB2312" w:eastAsia="仿宋_GB2312" w:cs="仿宋_GB2312"/>
          <w:b w:val="0"/>
          <w:bCs w:val="0"/>
          <w:color w:val="auto"/>
          <w:kern w:val="0"/>
          <w:sz w:val="32"/>
          <w:szCs w:val="32"/>
          <w:lang w:val="en-US" w:eastAsia="en-US" w:bidi="ar"/>
        </w:rPr>
        <w:t>日</w:t>
      </w:r>
    </w:p>
    <w:tbl>
      <w:tblPr>
        <w:tblStyle w:val="9"/>
        <w:tblW w:w="85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1615"/>
        <w:gridCol w:w="3771"/>
        <w:gridCol w:w="1568"/>
        <w:gridCol w:w="961"/>
      </w:tblGrid>
      <w:tr w14:paraId="4FAC5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682" w:type="dxa"/>
            <w:vAlign w:val="top"/>
          </w:tcPr>
          <w:p w14:paraId="7CD30AB4">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序号</w:t>
            </w:r>
          </w:p>
        </w:tc>
        <w:tc>
          <w:tcPr>
            <w:tcW w:w="1615" w:type="dxa"/>
            <w:vAlign w:val="top"/>
          </w:tcPr>
          <w:p w14:paraId="201EEFF9">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评估内容</w:t>
            </w:r>
          </w:p>
        </w:tc>
        <w:tc>
          <w:tcPr>
            <w:tcW w:w="3771" w:type="dxa"/>
            <w:vAlign w:val="top"/>
          </w:tcPr>
          <w:p w14:paraId="7DF24F1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评估要点</w:t>
            </w:r>
          </w:p>
        </w:tc>
        <w:tc>
          <w:tcPr>
            <w:tcW w:w="1568" w:type="dxa"/>
            <w:vAlign w:val="top"/>
          </w:tcPr>
          <w:p w14:paraId="6EE00AF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现场评估记录</w:t>
            </w:r>
          </w:p>
        </w:tc>
        <w:tc>
          <w:tcPr>
            <w:tcW w:w="961" w:type="dxa"/>
            <w:vAlign w:val="top"/>
          </w:tcPr>
          <w:p w14:paraId="7E1514C5">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备注</w:t>
            </w:r>
          </w:p>
        </w:tc>
      </w:tr>
      <w:tr w14:paraId="35971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682" w:type="dxa"/>
            <w:vAlign w:val="top"/>
          </w:tcPr>
          <w:p w14:paraId="2796052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5D34F52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1</w:t>
            </w:r>
          </w:p>
        </w:tc>
        <w:tc>
          <w:tcPr>
            <w:tcW w:w="1615" w:type="dxa"/>
            <w:vAlign w:val="top"/>
          </w:tcPr>
          <w:p w14:paraId="7F4E609F">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3BD7B4A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责任追究落实</w:t>
            </w:r>
          </w:p>
        </w:tc>
        <w:tc>
          <w:tcPr>
            <w:tcW w:w="3771" w:type="dxa"/>
            <w:vAlign w:val="top"/>
          </w:tcPr>
          <w:p w14:paraId="422223C6">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zh-CN" w:bidi="ar"/>
              </w:rPr>
            </w:pPr>
            <w:r>
              <w:rPr>
                <w:rFonts w:hint="eastAsia" w:ascii="仿宋_GB2312" w:hAnsi="仿宋_GB2312" w:eastAsia="仿宋_GB2312" w:cs="仿宋_GB2312"/>
                <w:b w:val="0"/>
                <w:bCs w:val="0"/>
                <w:color w:val="auto"/>
                <w:kern w:val="0"/>
                <w:sz w:val="26"/>
                <w:szCs w:val="26"/>
                <w:lang w:val="en-US" w:eastAsia="zh-CN" w:bidi="ar"/>
              </w:rPr>
              <w:t>1.柳*霞、涂*锋</w:t>
            </w:r>
            <w:r>
              <w:rPr>
                <w:rFonts w:hint="eastAsia" w:ascii="仿宋_GB2312" w:hAnsi="仿宋_GB2312" w:eastAsia="仿宋_GB2312" w:cs="仿宋_GB2312"/>
                <w:b w:val="0"/>
                <w:bCs w:val="0"/>
                <w:color w:val="auto"/>
                <w:kern w:val="0"/>
                <w:sz w:val="26"/>
                <w:szCs w:val="26"/>
                <w:lang w:val="en-US" w:eastAsia="en-US" w:bidi="ar"/>
              </w:rPr>
              <w:t>行政处罚已落实情况</w:t>
            </w:r>
            <w:r>
              <w:rPr>
                <w:rFonts w:hint="eastAsia" w:ascii="仿宋_GB2312" w:hAnsi="仿宋_GB2312" w:eastAsia="仿宋_GB2312" w:cs="仿宋_GB2312"/>
                <w:b w:val="0"/>
                <w:bCs w:val="0"/>
                <w:color w:val="auto"/>
                <w:kern w:val="0"/>
                <w:sz w:val="26"/>
                <w:szCs w:val="26"/>
                <w:lang w:val="en-US" w:eastAsia="zh-CN" w:bidi="ar"/>
              </w:rPr>
              <w:t>；</w:t>
            </w:r>
          </w:p>
          <w:p w14:paraId="27B95C70">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2</w:t>
            </w:r>
            <w:r>
              <w:rPr>
                <w:rFonts w:hint="eastAsia" w:ascii="仿宋_GB2312" w:hAnsi="仿宋_GB2312" w:eastAsia="仿宋_GB2312" w:cs="仿宋_GB2312"/>
                <w:b w:val="0"/>
                <w:bCs w:val="0"/>
                <w:color w:val="auto"/>
                <w:kern w:val="0"/>
                <w:sz w:val="26"/>
                <w:szCs w:val="26"/>
                <w:lang w:val="en-US" w:eastAsia="zh-CN" w:bidi="ar"/>
              </w:rPr>
              <w:t>.瑶海安徽皖信人力资源管理有限公司</w:t>
            </w:r>
            <w:r>
              <w:rPr>
                <w:rFonts w:hint="eastAsia" w:ascii="仿宋_GB2312" w:hAnsi="仿宋_GB2312" w:eastAsia="仿宋_GB2312" w:cs="仿宋_GB2312"/>
                <w:b w:val="0"/>
                <w:bCs w:val="0"/>
                <w:color w:val="auto"/>
                <w:kern w:val="0"/>
                <w:sz w:val="26"/>
                <w:szCs w:val="26"/>
                <w:lang w:val="en-US" w:eastAsia="en-US" w:bidi="ar"/>
              </w:rPr>
              <w:t>行政处罚已落实情况。</w:t>
            </w:r>
          </w:p>
          <w:p w14:paraId="3F595844">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tc>
        <w:tc>
          <w:tcPr>
            <w:tcW w:w="1568" w:type="dxa"/>
            <w:vAlign w:val="top"/>
          </w:tcPr>
          <w:p w14:paraId="282496DB">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4E5874AA">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26D3F176">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zh-CN" w:bidi="ar"/>
              </w:rPr>
              <w:t>已</w:t>
            </w:r>
            <w:r>
              <w:rPr>
                <w:rFonts w:hint="eastAsia" w:ascii="仿宋_GB2312" w:hAnsi="仿宋_GB2312" w:eastAsia="仿宋_GB2312" w:cs="仿宋_GB2312"/>
                <w:b w:val="0"/>
                <w:bCs w:val="0"/>
                <w:color w:val="auto"/>
                <w:kern w:val="0"/>
                <w:sz w:val="26"/>
                <w:szCs w:val="26"/>
                <w:lang w:val="en-US" w:eastAsia="en-US" w:bidi="ar"/>
              </w:rPr>
              <w:t>落实</w:t>
            </w:r>
          </w:p>
        </w:tc>
        <w:tc>
          <w:tcPr>
            <w:tcW w:w="961" w:type="dxa"/>
            <w:vAlign w:val="top"/>
          </w:tcPr>
          <w:p w14:paraId="1BA4B3C2">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tc>
      </w:tr>
      <w:tr w14:paraId="2D95A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7" w:hRule="atLeast"/>
        </w:trPr>
        <w:tc>
          <w:tcPr>
            <w:tcW w:w="682" w:type="dxa"/>
            <w:vAlign w:val="top"/>
          </w:tcPr>
          <w:p w14:paraId="0F398B14">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2E75B0F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2</w:t>
            </w:r>
          </w:p>
        </w:tc>
        <w:tc>
          <w:tcPr>
            <w:tcW w:w="1615" w:type="dxa"/>
            <w:vAlign w:val="top"/>
          </w:tcPr>
          <w:p w14:paraId="6C4A13B5">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zh-CN" w:bidi="ar"/>
              </w:rPr>
              <w:t>瑶海安徽皖信人力资源管理有限公司</w:t>
            </w:r>
            <w:r>
              <w:rPr>
                <w:rFonts w:hint="eastAsia" w:ascii="仿宋_GB2312" w:hAnsi="仿宋_GB2312" w:eastAsia="仿宋_GB2312" w:cs="仿宋_GB2312"/>
                <w:b w:val="0"/>
                <w:bCs w:val="0"/>
                <w:color w:val="auto"/>
                <w:kern w:val="0"/>
                <w:sz w:val="26"/>
                <w:szCs w:val="26"/>
                <w:lang w:val="en-US" w:eastAsia="en-US" w:bidi="ar"/>
              </w:rPr>
              <w:t>事故防范和整改措施</w:t>
            </w:r>
          </w:p>
        </w:tc>
        <w:tc>
          <w:tcPr>
            <w:tcW w:w="3771" w:type="dxa"/>
            <w:vAlign w:val="top"/>
          </w:tcPr>
          <w:p w14:paraId="064BE490">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要深刻吸取事故教训</w:t>
            </w:r>
            <w:r>
              <w:rPr>
                <w:rFonts w:hint="eastAsia" w:ascii="仿宋_GB2312" w:hAnsi="仿宋_GB2312" w:eastAsia="仿宋_GB2312" w:cs="仿宋_GB2312"/>
                <w:b w:val="0"/>
                <w:bCs w:val="0"/>
                <w:color w:val="auto"/>
                <w:kern w:val="0"/>
                <w:sz w:val="26"/>
                <w:szCs w:val="26"/>
                <w:lang w:val="en-US" w:eastAsia="zh-CN" w:bidi="ar"/>
              </w:rPr>
              <w:t>，</w:t>
            </w:r>
            <w:r>
              <w:rPr>
                <w:rFonts w:hint="eastAsia" w:ascii="仿宋_GB2312" w:hAnsi="仿宋_GB2312" w:eastAsia="仿宋_GB2312" w:cs="仿宋_GB2312"/>
                <w:b w:val="0"/>
                <w:bCs w:val="0"/>
                <w:color w:val="auto"/>
                <w:kern w:val="0"/>
                <w:sz w:val="26"/>
                <w:szCs w:val="26"/>
                <w:lang w:val="en-US" w:eastAsia="en-US" w:bidi="ar"/>
              </w:rPr>
              <w:t>加强对施工现场的巡查；督促教育施工人员按要求规范佩戴、使用劳动防护用品；要加强监督检查，及时发现、纠正施工现场存在的各类违法、违规、违章行为</w:t>
            </w:r>
            <w:r>
              <w:rPr>
                <w:rFonts w:hint="eastAsia" w:ascii="仿宋_GB2312" w:hAnsi="仿宋_GB2312" w:eastAsia="仿宋_GB2312" w:cs="仿宋_GB2312"/>
                <w:b w:val="0"/>
                <w:bCs w:val="0"/>
                <w:color w:val="auto"/>
                <w:kern w:val="0"/>
                <w:sz w:val="26"/>
                <w:szCs w:val="26"/>
                <w:lang w:val="en-US" w:eastAsia="zh-CN" w:bidi="ar"/>
              </w:rPr>
              <w:t>，</w:t>
            </w:r>
            <w:r>
              <w:rPr>
                <w:rFonts w:hint="eastAsia" w:ascii="仿宋_GB2312" w:hAnsi="仿宋_GB2312" w:eastAsia="仿宋_GB2312" w:cs="仿宋_GB2312"/>
                <w:b w:val="0"/>
                <w:bCs w:val="0"/>
                <w:color w:val="auto"/>
                <w:kern w:val="0"/>
                <w:sz w:val="26"/>
                <w:szCs w:val="26"/>
                <w:lang w:val="en-US" w:eastAsia="en-US" w:bidi="ar"/>
              </w:rPr>
              <w:t>坚决预防生产安全事故的发生。</w:t>
            </w:r>
          </w:p>
        </w:tc>
        <w:tc>
          <w:tcPr>
            <w:tcW w:w="1568" w:type="dxa"/>
            <w:vAlign w:val="top"/>
          </w:tcPr>
          <w:p w14:paraId="785277B9">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1B9F5D4A">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609354BE">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已落实</w:t>
            </w:r>
          </w:p>
        </w:tc>
        <w:tc>
          <w:tcPr>
            <w:tcW w:w="961" w:type="dxa"/>
            <w:vAlign w:val="top"/>
          </w:tcPr>
          <w:p w14:paraId="2D234A1F">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tc>
      </w:tr>
      <w:tr w14:paraId="14E2E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9" w:hRule="atLeast"/>
        </w:trPr>
        <w:tc>
          <w:tcPr>
            <w:tcW w:w="682" w:type="dxa"/>
            <w:vAlign w:val="top"/>
          </w:tcPr>
          <w:p w14:paraId="56179B12">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310FF0E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3</w:t>
            </w:r>
          </w:p>
        </w:tc>
        <w:tc>
          <w:tcPr>
            <w:tcW w:w="1615" w:type="dxa"/>
            <w:vAlign w:val="top"/>
          </w:tcPr>
          <w:p w14:paraId="34925A50">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2292AA24">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区</w:t>
            </w:r>
            <w:r>
              <w:rPr>
                <w:rFonts w:hint="eastAsia" w:ascii="仿宋_GB2312" w:hAnsi="仿宋_GB2312" w:eastAsia="仿宋_GB2312" w:cs="仿宋_GB2312"/>
                <w:b w:val="0"/>
                <w:bCs w:val="0"/>
                <w:color w:val="auto"/>
                <w:kern w:val="0"/>
                <w:sz w:val="26"/>
                <w:szCs w:val="26"/>
                <w:lang w:val="en-US" w:eastAsia="zh-CN" w:bidi="ar"/>
              </w:rPr>
              <w:t>商务局</w:t>
            </w:r>
            <w:r>
              <w:rPr>
                <w:rFonts w:hint="eastAsia" w:ascii="仿宋_GB2312" w:hAnsi="仿宋_GB2312" w:eastAsia="仿宋_GB2312" w:cs="仿宋_GB2312"/>
                <w:b w:val="0"/>
                <w:bCs w:val="0"/>
                <w:color w:val="auto"/>
                <w:kern w:val="0"/>
                <w:sz w:val="26"/>
                <w:szCs w:val="26"/>
                <w:lang w:val="en-US" w:eastAsia="en-US" w:bidi="ar"/>
              </w:rPr>
              <w:t>事故防范和整改措施</w:t>
            </w:r>
          </w:p>
        </w:tc>
        <w:tc>
          <w:tcPr>
            <w:tcW w:w="3771" w:type="dxa"/>
            <w:vAlign w:val="top"/>
          </w:tcPr>
          <w:p w14:paraId="62AC646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要深刻吸取事故教训，严格落实行业安全监管责任，强化对镇街业务指导，要进一步规范小散工程安全生产</w:t>
            </w:r>
            <w:r>
              <w:rPr>
                <w:rFonts w:hint="eastAsia" w:ascii="仿宋_GB2312" w:hAnsi="仿宋_GB2312" w:eastAsia="仿宋_GB2312" w:cs="仿宋_GB2312"/>
                <w:b w:val="0"/>
                <w:bCs w:val="0"/>
                <w:color w:val="auto"/>
                <w:kern w:val="0"/>
                <w:sz w:val="26"/>
                <w:szCs w:val="26"/>
                <w:lang w:val="en-US" w:eastAsia="zh-CN" w:bidi="ar"/>
              </w:rPr>
              <w:t>纳管</w:t>
            </w:r>
            <w:r>
              <w:rPr>
                <w:rFonts w:hint="eastAsia" w:ascii="仿宋_GB2312" w:hAnsi="仿宋_GB2312" w:eastAsia="仿宋_GB2312" w:cs="仿宋_GB2312"/>
                <w:b w:val="0"/>
                <w:bCs w:val="0"/>
                <w:color w:val="auto"/>
                <w:kern w:val="0"/>
                <w:sz w:val="26"/>
                <w:szCs w:val="26"/>
                <w:lang w:val="en-US" w:eastAsia="en-US" w:bidi="ar"/>
              </w:rPr>
              <w:t>，督促相关部门和属地开展小散工程现场安全隐患排查整治工作</w:t>
            </w:r>
            <w:r>
              <w:rPr>
                <w:rFonts w:hint="eastAsia" w:ascii="仿宋_GB2312" w:hAnsi="仿宋_GB2312" w:eastAsia="仿宋_GB2312" w:cs="仿宋_GB2312"/>
                <w:b w:val="0"/>
                <w:bCs w:val="0"/>
                <w:color w:val="auto"/>
                <w:kern w:val="0"/>
                <w:sz w:val="26"/>
                <w:szCs w:val="26"/>
                <w:lang w:val="en-US" w:eastAsia="zh-CN" w:bidi="ar"/>
              </w:rPr>
              <w:t>，</w:t>
            </w:r>
            <w:r>
              <w:rPr>
                <w:rFonts w:hint="eastAsia" w:ascii="仿宋_GB2312" w:hAnsi="仿宋_GB2312" w:eastAsia="仿宋_GB2312" w:cs="仿宋_GB2312"/>
                <w:b w:val="0"/>
                <w:bCs w:val="0"/>
                <w:color w:val="auto"/>
                <w:kern w:val="0"/>
                <w:sz w:val="26"/>
                <w:szCs w:val="26"/>
                <w:lang w:val="en-US" w:eastAsia="en-US" w:bidi="ar"/>
              </w:rPr>
              <w:t>对发现的违法违规施工活动，督促企业坚决整改落实到位，对拒不整改的严厉查处，形成工作闭环。</w:t>
            </w:r>
          </w:p>
        </w:tc>
        <w:tc>
          <w:tcPr>
            <w:tcW w:w="1568" w:type="dxa"/>
            <w:vAlign w:val="top"/>
          </w:tcPr>
          <w:p w14:paraId="1271DBE4">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79C7257C">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68BD9D7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349BB3B0">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已落实</w:t>
            </w:r>
          </w:p>
        </w:tc>
        <w:tc>
          <w:tcPr>
            <w:tcW w:w="961" w:type="dxa"/>
            <w:vAlign w:val="top"/>
          </w:tcPr>
          <w:p w14:paraId="603EF2A6">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tc>
      </w:tr>
      <w:tr w14:paraId="18BBD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2" w:hRule="atLeast"/>
        </w:trPr>
        <w:tc>
          <w:tcPr>
            <w:tcW w:w="682" w:type="dxa"/>
            <w:vAlign w:val="top"/>
          </w:tcPr>
          <w:p w14:paraId="0434C4FF">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1BCC172C">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zh-CN" w:bidi="ar"/>
              </w:rPr>
            </w:pPr>
            <w:r>
              <w:rPr>
                <w:rFonts w:hint="eastAsia" w:ascii="仿宋_GB2312" w:hAnsi="仿宋_GB2312" w:eastAsia="仿宋_GB2312" w:cs="仿宋_GB2312"/>
                <w:b w:val="0"/>
                <w:bCs w:val="0"/>
                <w:color w:val="auto"/>
                <w:kern w:val="0"/>
                <w:sz w:val="26"/>
                <w:szCs w:val="26"/>
                <w:lang w:val="en-US" w:eastAsia="zh-CN" w:bidi="ar"/>
              </w:rPr>
              <w:t>4</w:t>
            </w:r>
          </w:p>
        </w:tc>
        <w:tc>
          <w:tcPr>
            <w:tcW w:w="1615" w:type="dxa"/>
            <w:vAlign w:val="top"/>
          </w:tcPr>
          <w:p w14:paraId="58E69DB7">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zh-CN" w:bidi="ar"/>
              </w:rPr>
              <w:t>周谷堆物流园公司</w:t>
            </w:r>
            <w:r>
              <w:rPr>
                <w:rFonts w:hint="eastAsia" w:ascii="仿宋_GB2312" w:hAnsi="仿宋_GB2312" w:eastAsia="仿宋_GB2312" w:cs="仿宋_GB2312"/>
                <w:b w:val="0"/>
                <w:bCs w:val="0"/>
                <w:color w:val="auto"/>
                <w:kern w:val="0"/>
                <w:sz w:val="26"/>
                <w:szCs w:val="26"/>
                <w:lang w:val="en-US" w:eastAsia="en-US" w:bidi="ar"/>
              </w:rPr>
              <w:t>事故防范和整改措施：</w:t>
            </w:r>
          </w:p>
        </w:tc>
        <w:tc>
          <w:tcPr>
            <w:tcW w:w="3771" w:type="dxa"/>
            <w:vAlign w:val="top"/>
          </w:tcPr>
          <w:p w14:paraId="1CA7A2D5">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要深刻汲取事故教训，严格落实安全生产规章制度和安全操作规程</w:t>
            </w:r>
            <w:r>
              <w:rPr>
                <w:rFonts w:hint="eastAsia" w:ascii="仿宋_GB2312" w:hAnsi="仿宋_GB2312" w:eastAsia="仿宋_GB2312" w:cs="仿宋_GB2312"/>
                <w:b w:val="0"/>
                <w:bCs w:val="0"/>
                <w:color w:val="auto"/>
                <w:kern w:val="0"/>
                <w:sz w:val="26"/>
                <w:szCs w:val="26"/>
                <w:lang w:val="en-US" w:eastAsia="zh-CN" w:bidi="ar"/>
              </w:rPr>
              <w:t>，</w:t>
            </w:r>
            <w:r>
              <w:rPr>
                <w:rFonts w:hint="eastAsia" w:ascii="仿宋_GB2312" w:hAnsi="仿宋_GB2312" w:eastAsia="仿宋_GB2312" w:cs="仿宋_GB2312"/>
                <w:b w:val="0"/>
                <w:bCs w:val="0"/>
                <w:color w:val="auto"/>
                <w:kern w:val="0"/>
                <w:sz w:val="26"/>
                <w:szCs w:val="26"/>
                <w:lang w:val="en-US" w:eastAsia="en-US" w:bidi="ar"/>
              </w:rPr>
              <w:t>与承租单位签订专门的安全生产管理协议</w:t>
            </w:r>
            <w:r>
              <w:rPr>
                <w:rFonts w:hint="eastAsia" w:ascii="仿宋_GB2312" w:hAnsi="仿宋_GB2312" w:eastAsia="仿宋_GB2312" w:cs="仿宋_GB2312"/>
                <w:b w:val="0"/>
                <w:bCs w:val="0"/>
                <w:color w:val="auto"/>
                <w:kern w:val="0"/>
                <w:sz w:val="26"/>
                <w:szCs w:val="26"/>
                <w:lang w:val="en-US" w:eastAsia="zh-CN" w:bidi="ar"/>
              </w:rPr>
              <w:t>，</w:t>
            </w:r>
            <w:r>
              <w:rPr>
                <w:rFonts w:hint="eastAsia" w:ascii="仿宋_GB2312" w:hAnsi="仿宋_GB2312" w:eastAsia="仿宋_GB2312" w:cs="仿宋_GB2312"/>
                <w:b w:val="0"/>
                <w:bCs w:val="0"/>
                <w:color w:val="auto"/>
                <w:kern w:val="0"/>
                <w:sz w:val="26"/>
                <w:szCs w:val="26"/>
                <w:lang w:val="en-US" w:eastAsia="en-US" w:bidi="ar"/>
              </w:rPr>
              <w:t>加强对</w:t>
            </w:r>
            <w:r>
              <w:rPr>
                <w:rFonts w:hint="eastAsia" w:ascii="仿宋_GB2312" w:hAnsi="仿宋_GB2312" w:eastAsia="仿宋_GB2312" w:cs="仿宋_GB2312"/>
                <w:b w:val="0"/>
                <w:bCs w:val="0"/>
                <w:color w:val="auto"/>
                <w:kern w:val="0"/>
                <w:sz w:val="26"/>
                <w:szCs w:val="26"/>
                <w:lang w:val="en-US" w:eastAsia="zh-CN" w:bidi="ar"/>
              </w:rPr>
              <w:t>外包</w:t>
            </w:r>
            <w:r>
              <w:rPr>
                <w:rFonts w:hint="eastAsia" w:ascii="仿宋_GB2312" w:hAnsi="仿宋_GB2312" w:eastAsia="仿宋_GB2312" w:cs="仿宋_GB2312"/>
                <w:b w:val="0"/>
                <w:bCs w:val="0"/>
                <w:color w:val="auto"/>
                <w:kern w:val="0"/>
                <w:sz w:val="26"/>
                <w:szCs w:val="26"/>
                <w:lang w:val="en-US" w:eastAsia="en-US" w:bidi="ar"/>
              </w:rPr>
              <w:t>单位安全生产工作统一协调、管理，及时排查、消除事故隐患，坚决防范生产安全事故发生。</w:t>
            </w:r>
          </w:p>
        </w:tc>
        <w:tc>
          <w:tcPr>
            <w:tcW w:w="1568" w:type="dxa"/>
            <w:vAlign w:val="top"/>
          </w:tcPr>
          <w:p w14:paraId="0EA437EC">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3A0EBA70">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p w14:paraId="7EF680E9">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r>
              <w:rPr>
                <w:rFonts w:hint="eastAsia" w:ascii="仿宋_GB2312" w:hAnsi="仿宋_GB2312" w:eastAsia="仿宋_GB2312" w:cs="仿宋_GB2312"/>
                <w:b w:val="0"/>
                <w:bCs w:val="0"/>
                <w:color w:val="auto"/>
                <w:kern w:val="0"/>
                <w:sz w:val="26"/>
                <w:szCs w:val="26"/>
                <w:lang w:val="en-US" w:eastAsia="en-US" w:bidi="ar"/>
              </w:rPr>
              <w:t>已落实</w:t>
            </w:r>
          </w:p>
        </w:tc>
        <w:tc>
          <w:tcPr>
            <w:tcW w:w="961" w:type="dxa"/>
            <w:vAlign w:val="top"/>
          </w:tcPr>
          <w:p w14:paraId="240EB77A">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26"/>
                <w:szCs w:val="26"/>
                <w:lang w:val="en-US" w:eastAsia="en-US" w:bidi="ar"/>
              </w:rPr>
            </w:pPr>
          </w:p>
        </w:tc>
      </w:tr>
    </w:tbl>
    <w:p w14:paraId="68408FC4">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63EF991B">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24D9C452">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117D5B87">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7978DB62">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05456F03">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r>
        <w:rPr>
          <w:rFonts w:hint="eastAsia" w:ascii="黑体" w:hAnsi="黑体" w:eastAsia="黑体" w:cs="黑体"/>
          <w:b/>
          <w:bCs/>
          <w:snapToGrid w:val="0"/>
          <w:color w:val="000000"/>
          <w:spacing w:val="-1"/>
          <w:kern w:val="0"/>
          <w:sz w:val="32"/>
          <w:szCs w:val="32"/>
          <w:lang w:val="en-US" w:eastAsia="zh-CN"/>
        </w:rPr>
        <w:t>附件3</w:t>
      </w:r>
    </w:p>
    <w:p w14:paraId="3986552C">
      <w:pPr>
        <w:keepNext w:val="0"/>
        <w:keepLines w:val="0"/>
        <w:pageBreakBefore w:val="0"/>
        <w:kinsoku w:val="0"/>
        <w:wordWrap/>
        <w:overflowPunct/>
        <w:topLinePunct w:val="0"/>
        <w:autoSpaceDE w:val="0"/>
        <w:autoSpaceDN w:val="0"/>
        <w:bidi w:val="0"/>
        <w:adjustRightInd w:val="0"/>
        <w:snapToGrid w:val="0"/>
        <w:spacing w:before="100" w:line="560" w:lineRule="exact"/>
        <w:ind w:firstLine="880" w:firstLineChars="200"/>
        <w:jc w:val="left"/>
        <w:textAlignment w:val="baseline"/>
        <w:rPr>
          <w:rFonts w:hint="eastAsia" w:ascii="方正小标宋简体" w:hAnsi="方正小标宋简体" w:eastAsia="方正小标宋简体" w:cs="方正小标宋简体"/>
          <w:sz w:val="44"/>
          <w:szCs w:val="44"/>
          <w:lang w:val="en-US" w:eastAsia="en-US"/>
        </w:rPr>
      </w:pPr>
      <w:r>
        <w:rPr>
          <w:rFonts w:hint="eastAsia" w:ascii="方正小标宋简体" w:hAnsi="方正小标宋简体" w:eastAsia="方正小标宋简体" w:cs="方正小标宋简体"/>
          <w:sz w:val="44"/>
          <w:szCs w:val="44"/>
          <w:lang w:val="en-US" w:eastAsia="zh-CN"/>
        </w:rPr>
        <w:t>瑶海安徽皖信人力资源管理有限公司“12•28”一般高处坠落事故</w:t>
      </w:r>
      <w:r>
        <w:rPr>
          <w:rFonts w:hint="eastAsia" w:ascii="方正小标宋简体" w:hAnsi="方正小标宋简体" w:eastAsia="方正小标宋简体" w:cs="方正小标宋简体"/>
          <w:sz w:val="44"/>
          <w:szCs w:val="44"/>
          <w:lang w:val="en-US" w:eastAsia="en-US"/>
        </w:rPr>
        <w:t>防范和整改措施落实情况表</w:t>
      </w:r>
    </w:p>
    <w:p w14:paraId="4135E9B9">
      <w:pPr>
        <w:keepNext w:val="0"/>
        <w:keepLines w:val="0"/>
        <w:pageBreakBefore w:val="0"/>
        <w:kinsoku w:val="0"/>
        <w:wordWrap/>
        <w:overflowPunct/>
        <w:topLinePunct w:val="0"/>
        <w:autoSpaceDE w:val="0"/>
        <w:autoSpaceDN w:val="0"/>
        <w:bidi w:val="0"/>
        <w:adjustRightInd w:val="0"/>
        <w:snapToGrid w:val="0"/>
        <w:spacing w:line="560" w:lineRule="exact"/>
        <w:ind w:left="4335"/>
        <w:jc w:val="left"/>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snapToGrid w:val="0"/>
          <w:color w:val="191919"/>
          <w:spacing w:val="-8"/>
          <w:kern w:val="0"/>
          <w:sz w:val="28"/>
          <w:szCs w:val="28"/>
          <w:lang w:val="en-US" w:eastAsia="en-US" w:bidi="ar-SA"/>
        </w:rPr>
        <w:t>评估时间：202</w:t>
      </w:r>
      <w:r>
        <w:rPr>
          <w:rFonts w:hint="eastAsia" w:ascii="仿宋" w:hAnsi="仿宋" w:eastAsia="仿宋" w:cs="仿宋"/>
          <w:snapToGrid w:val="0"/>
          <w:color w:val="191919"/>
          <w:spacing w:val="-8"/>
          <w:kern w:val="0"/>
          <w:sz w:val="28"/>
          <w:szCs w:val="28"/>
          <w:lang w:val="en-US" w:eastAsia="zh-CN" w:bidi="ar-SA"/>
        </w:rPr>
        <w:t xml:space="preserve">6 </w:t>
      </w:r>
      <w:r>
        <w:rPr>
          <w:rFonts w:ascii="仿宋" w:hAnsi="仿宋" w:eastAsia="仿宋" w:cs="仿宋"/>
          <w:snapToGrid w:val="0"/>
          <w:color w:val="191919"/>
          <w:spacing w:val="-8"/>
          <w:kern w:val="0"/>
          <w:sz w:val="28"/>
          <w:szCs w:val="28"/>
          <w:lang w:val="en-US" w:eastAsia="en-US" w:bidi="ar-SA"/>
        </w:rPr>
        <w:t>年</w:t>
      </w:r>
      <w:r>
        <w:rPr>
          <w:rFonts w:hint="eastAsia" w:ascii="仿宋" w:hAnsi="仿宋" w:eastAsia="仿宋" w:cs="仿宋"/>
          <w:snapToGrid w:val="0"/>
          <w:color w:val="191919"/>
          <w:spacing w:val="-8"/>
          <w:kern w:val="0"/>
          <w:sz w:val="28"/>
          <w:szCs w:val="28"/>
          <w:lang w:val="en-US" w:eastAsia="zh-CN" w:bidi="ar-SA"/>
        </w:rPr>
        <w:t xml:space="preserve"> </w:t>
      </w:r>
      <w:r>
        <w:rPr>
          <w:rFonts w:hint="eastAsia" w:ascii="仿宋" w:hAnsi="仿宋" w:eastAsia="仿宋" w:cs="仿宋"/>
          <w:snapToGrid w:val="0"/>
          <w:color w:val="191919"/>
          <w:spacing w:val="-47"/>
          <w:kern w:val="0"/>
          <w:sz w:val="28"/>
          <w:szCs w:val="28"/>
          <w:lang w:val="en-US" w:eastAsia="zh-CN" w:bidi="ar-SA"/>
        </w:rPr>
        <w:t>1</w:t>
      </w:r>
      <w:r>
        <w:rPr>
          <w:rFonts w:ascii="仿宋" w:hAnsi="仿宋" w:eastAsia="仿宋" w:cs="仿宋"/>
          <w:snapToGrid w:val="0"/>
          <w:color w:val="191919"/>
          <w:spacing w:val="-46"/>
          <w:kern w:val="0"/>
          <w:sz w:val="28"/>
          <w:szCs w:val="28"/>
          <w:lang w:val="en-US" w:eastAsia="en-US" w:bidi="ar-SA"/>
        </w:rPr>
        <w:t xml:space="preserve"> </w:t>
      </w:r>
      <w:r>
        <w:rPr>
          <w:rFonts w:hint="eastAsia" w:ascii="仿宋" w:hAnsi="仿宋" w:eastAsia="仿宋" w:cs="仿宋"/>
          <w:snapToGrid w:val="0"/>
          <w:color w:val="191919"/>
          <w:spacing w:val="-46"/>
          <w:kern w:val="0"/>
          <w:sz w:val="28"/>
          <w:szCs w:val="28"/>
          <w:lang w:val="en-US" w:eastAsia="zh-CN" w:bidi="ar-SA"/>
        </w:rPr>
        <w:t xml:space="preserve"> </w:t>
      </w:r>
      <w:r>
        <w:rPr>
          <w:rFonts w:ascii="仿宋" w:hAnsi="仿宋" w:eastAsia="仿宋" w:cs="仿宋"/>
          <w:snapToGrid w:val="0"/>
          <w:color w:val="191919"/>
          <w:spacing w:val="-8"/>
          <w:kern w:val="0"/>
          <w:sz w:val="28"/>
          <w:szCs w:val="28"/>
          <w:lang w:val="en-US" w:eastAsia="en-US" w:bidi="ar-SA"/>
        </w:rPr>
        <w:t>月</w:t>
      </w:r>
      <w:r>
        <w:rPr>
          <w:rFonts w:ascii="仿宋" w:hAnsi="仿宋" w:eastAsia="仿宋" w:cs="仿宋"/>
          <w:snapToGrid w:val="0"/>
          <w:color w:val="191919"/>
          <w:spacing w:val="-42"/>
          <w:kern w:val="0"/>
          <w:sz w:val="28"/>
          <w:szCs w:val="28"/>
          <w:lang w:val="en-US" w:eastAsia="en-US" w:bidi="ar-SA"/>
        </w:rPr>
        <w:t xml:space="preserve"> </w:t>
      </w:r>
      <w:r>
        <w:rPr>
          <w:rFonts w:ascii="仿宋" w:hAnsi="仿宋" w:eastAsia="仿宋" w:cs="仿宋"/>
          <w:snapToGrid w:val="0"/>
          <w:color w:val="191919"/>
          <w:spacing w:val="-8"/>
          <w:kern w:val="0"/>
          <w:sz w:val="28"/>
          <w:szCs w:val="28"/>
          <w:lang w:val="en-US" w:eastAsia="en-US" w:bidi="ar-SA"/>
        </w:rPr>
        <w:t>1</w:t>
      </w:r>
      <w:r>
        <w:rPr>
          <w:rFonts w:hint="eastAsia" w:ascii="仿宋" w:hAnsi="仿宋" w:eastAsia="仿宋" w:cs="仿宋"/>
          <w:snapToGrid w:val="0"/>
          <w:color w:val="191919"/>
          <w:spacing w:val="-8"/>
          <w:kern w:val="0"/>
          <w:sz w:val="28"/>
          <w:szCs w:val="28"/>
          <w:lang w:val="en-US" w:eastAsia="zh-CN" w:bidi="ar-SA"/>
        </w:rPr>
        <w:t xml:space="preserve">6 </w:t>
      </w:r>
      <w:r>
        <w:rPr>
          <w:rFonts w:ascii="仿宋" w:hAnsi="仿宋" w:eastAsia="仿宋" w:cs="仿宋"/>
          <w:snapToGrid w:val="0"/>
          <w:color w:val="191919"/>
          <w:spacing w:val="-8"/>
          <w:kern w:val="0"/>
          <w:sz w:val="28"/>
          <w:szCs w:val="28"/>
          <w:lang w:val="en-US" w:eastAsia="en-US" w:bidi="ar-SA"/>
        </w:rPr>
        <w:t>日</w:t>
      </w:r>
    </w:p>
    <w:tbl>
      <w:tblPr>
        <w:tblStyle w:val="9"/>
        <w:tblW w:w="87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1853"/>
        <w:gridCol w:w="2410"/>
        <w:gridCol w:w="3412"/>
      </w:tblGrid>
      <w:tr w14:paraId="52687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1099" w:type="dxa"/>
            <w:vAlign w:val="top"/>
          </w:tcPr>
          <w:p w14:paraId="66C470D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2F17EDA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序号</w:t>
            </w:r>
          </w:p>
        </w:tc>
        <w:tc>
          <w:tcPr>
            <w:tcW w:w="1853" w:type="dxa"/>
            <w:vAlign w:val="top"/>
          </w:tcPr>
          <w:p w14:paraId="075B4672">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事故责任人或 责任单位</w:t>
            </w:r>
          </w:p>
        </w:tc>
        <w:tc>
          <w:tcPr>
            <w:tcW w:w="2410" w:type="dxa"/>
            <w:vAlign w:val="top"/>
          </w:tcPr>
          <w:p w14:paraId="6A44AE9F">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1A1163A0">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处理意见</w:t>
            </w:r>
          </w:p>
        </w:tc>
        <w:tc>
          <w:tcPr>
            <w:tcW w:w="3412" w:type="dxa"/>
            <w:vAlign w:val="top"/>
          </w:tcPr>
          <w:p w14:paraId="3E7FC2E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p>
          <w:p w14:paraId="4DA5437A">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落实情况</w:t>
            </w:r>
          </w:p>
        </w:tc>
      </w:tr>
      <w:tr w14:paraId="044F2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99" w:type="dxa"/>
            <w:vAlign w:val="top"/>
          </w:tcPr>
          <w:p w14:paraId="7B8D82EE">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1</w:t>
            </w:r>
          </w:p>
        </w:tc>
        <w:tc>
          <w:tcPr>
            <w:tcW w:w="1853" w:type="dxa"/>
            <w:vAlign w:val="top"/>
          </w:tcPr>
          <w:p w14:paraId="34B37C27">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柳*霞</w:t>
            </w:r>
          </w:p>
        </w:tc>
        <w:tc>
          <w:tcPr>
            <w:tcW w:w="2410" w:type="dxa"/>
            <w:vAlign w:val="top"/>
          </w:tcPr>
          <w:p w14:paraId="403DD8AF">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给予人民币叁万贰仟叁佰陆拾贰元</w:t>
            </w:r>
            <w:r>
              <w:rPr>
                <w:rFonts w:hint="eastAsia" w:ascii="仿宋_GB2312" w:hAnsi="仿宋_GB2312" w:eastAsia="仿宋_GB2312" w:cs="仿宋_GB2312"/>
                <w:b w:val="0"/>
                <w:bCs w:val="0"/>
                <w:color w:val="auto"/>
                <w:kern w:val="0"/>
                <w:sz w:val="32"/>
                <w:szCs w:val="32"/>
                <w:lang w:val="en-US" w:eastAsia="en-US" w:bidi="ar"/>
              </w:rPr>
              <w:t>罚款</w:t>
            </w:r>
          </w:p>
        </w:tc>
        <w:tc>
          <w:tcPr>
            <w:tcW w:w="3412" w:type="dxa"/>
            <w:vAlign w:val="top"/>
          </w:tcPr>
          <w:p w14:paraId="488A1208">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已缴纳</w:t>
            </w:r>
          </w:p>
        </w:tc>
      </w:tr>
      <w:tr w14:paraId="18A28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1099" w:type="dxa"/>
            <w:vAlign w:val="top"/>
          </w:tcPr>
          <w:p w14:paraId="3A2FD12D">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2</w:t>
            </w:r>
          </w:p>
        </w:tc>
        <w:tc>
          <w:tcPr>
            <w:tcW w:w="1853" w:type="dxa"/>
            <w:vAlign w:val="top"/>
          </w:tcPr>
          <w:p w14:paraId="0E3B0115">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涂*锋</w:t>
            </w:r>
          </w:p>
        </w:tc>
        <w:tc>
          <w:tcPr>
            <w:tcW w:w="2410" w:type="dxa"/>
            <w:vAlign w:val="top"/>
          </w:tcPr>
          <w:p w14:paraId="78FAA8C6">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给予人民币伍仟元整</w:t>
            </w:r>
            <w:r>
              <w:rPr>
                <w:rFonts w:hint="eastAsia" w:ascii="仿宋_GB2312" w:hAnsi="仿宋_GB2312" w:eastAsia="仿宋_GB2312" w:cs="仿宋_GB2312"/>
                <w:b w:val="0"/>
                <w:bCs w:val="0"/>
                <w:color w:val="auto"/>
                <w:kern w:val="0"/>
                <w:sz w:val="32"/>
                <w:szCs w:val="32"/>
                <w:lang w:val="en-US" w:eastAsia="en-US" w:bidi="ar"/>
              </w:rPr>
              <w:t>罚款</w:t>
            </w:r>
          </w:p>
        </w:tc>
        <w:tc>
          <w:tcPr>
            <w:tcW w:w="3412" w:type="dxa"/>
            <w:vAlign w:val="top"/>
          </w:tcPr>
          <w:p w14:paraId="2D3B49BB">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已</w:t>
            </w:r>
            <w:r>
              <w:rPr>
                <w:rFonts w:hint="eastAsia" w:ascii="仿宋_GB2312" w:hAnsi="仿宋_GB2312" w:eastAsia="仿宋_GB2312" w:cs="仿宋_GB2312"/>
                <w:b w:val="0"/>
                <w:bCs w:val="0"/>
                <w:color w:val="auto"/>
                <w:kern w:val="0"/>
                <w:sz w:val="32"/>
                <w:szCs w:val="32"/>
                <w:lang w:val="en-US" w:eastAsia="en-US" w:bidi="ar"/>
              </w:rPr>
              <w:t>缴纳</w:t>
            </w:r>
          </w:p>
        </w:tc>
      </w:tr>
      <w:tr w14:paraId="52ACC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099" w:type="dxa"/>
            <w:vAlign w:val="top"/>
          </w:tcPr>
          <w:p w14:paraId="0210ECAF">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en-US" w:bidi="ar"/>
              </w:rPr>
              <w:t>3</w:t>
            </w:r>
          </w:p>
        </w:tc>
        <w:tc>
          <w:tcPr>
            <w:tcW w:w="1853" w:type="dxa"/>
            <w:vAlign w:val="top"/>
          </w:tcPr>
          <w:p w14:paraId="07ED0CDA">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瑶海安徽皖信人力资源管理有限公司</w:t>
            </w:r>
          </w:p>
        </w:tc>
        <w:tc>
          <w:tcPr>
            <w:tcW w:w="2410" w:type="dxa"/>
            <w:vAlign w:val="top"/>
          </w:tcPr>
          <w:p w14:paraId="2DD76C04">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给予人民币伍拾万</w:t>
            </w:r>
            <w:r>
              <w:rPr>
                <w:rFonts w:hint="default" w:ascii="仿宋_GB2312" w:hAnsi="仿宋_GB2312" w:eastAsia="仿宋_GB2312" w:cs="仿宋_GB2312"/>
                <w:b w:val="0"/>
                <w:bCs w:val="0"/>
                <w:color w:val="auto"/>
                <w:kern w:val="0"/>
                <w:sz w:val="32"/>
                <w:szCs w:val="32"/>
                <w:lang w:val="en-US" w:eastAsia="zh-CN" w:bidi="ar"/>
              </w:rPr>
              <w:t>元</w:t>
            </w:r>
            <w:r>
              <w:rPr>
                <w:rFonts w:hint="eastAsia" w:ascii="仿宋_GB2312" w:hAnsi="仿宋_GB2312" w:eastAsia="仿宋_GB2312" w:cs="仿宋_GB2312"/>
                <w:b w:val="0"/>
                <w:bCs w:val="0"/>
                <w:color w:val="auto"/>
                <w:kern w:val="0"/>
                <w:sz w:val="32"/>
                <w:szCs w:val="32"/>
                <w:lang w:val="en-US" w:eastAsia="zh-CN" w:bidi="ar"/>
              </w:rPr>
              <w:t>整</w:t>
            </w:r>
            <w:r>
              <w:rPr>
                <w:rFonts w:hint="eastAsia" w:ascii="仿宋_GB2312" w:hAnsi="仿宋_GB2312" w:eastAsia="仿宋_GB2312" w:cs="仿宋_GB2312"/>
                <w:b w:val="0"/>
                <w:bCs w:val="0"/>
                <w:color w:val="auto"/>
                <w:kern w:val="0"/>
                <w:sz w:val="32"/>
                <w:szCs w:val="32"/>
                <w:lang w:val="en-US" w:eastAsia="en-US" w:bidi="ar"/>
              </w:rPr>
              <w:t>罚款</w:t>
            </w:r>
          </w:p>
        </w:tc>
        <w:tc>
          <w:tcPr>
            <w:tcW w:w="3412" w:type="dxa"/>
            <w:vAlign w:val="top"/>
          </w:tcPr>
          <w:p w14:paraId="547DF52E">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outlineLvl w:val="0"/>
              <w:rPr>
                <w:rFonts w:hint="eastAsia" w:ascii="仿宋_GB2312" w:hAnsi="仿宋_GB2312" w:eastAsia="仿宋_GB2312" w:cs="仿宋_GB2312"/>
                <w:b w:val="0"/>
                <w:bCs w:val="0"/>
                <w:color w:val="auto"/>
                <w:kern w:val="0"/>
                <w:sz w:val="32"/>
                <w:szCs w:val="32"/>
                <w:lang w:val="en-US" w:eastAsia="en-US" w:bidi="ar"/>
              </w:rPr>
            </w:pPr>
            <w:r>
              <w:rPr>
                <w:rFonts w:hint="eastAsia" w:ascii="仿宋_GB2312" w:hAnsi="仿宋_GB2312" w:eastAsia="仿宋_GB2312" w:cs="仿宋_GB2312"/>
                <w:b w:val="0"/>
                <w:bCs w:val="0"/>
                <w:color w:val="auto"/>
                <w:kern w:val="0"/>
                <w:sz w:val="32"/>
                <w:szCs w:val="32"/>
                <w:lang w:val="en-US" w:eastAsia="zh-CN" w:bidi="ar"/>
              </w:rPr>
              <w:t>已</w:t>
            </w:r>
            <w:r>
              <w:rPr>
                <w:rFonts w:hint="eastAsia" w:ascii="仿宋_GB2312" w:hAnsi="仿宋_GB2312" w:eastAsia="仿宋_GB2312" w:cs="仿宋_GB2312"/>
                <w:b w:val="0"/>
                <w:bCs w:val="0"/>
                <w:color w:val="auto"/>
                <w:kern w:val="0"/>
                <w:sz w:val="32"/>
                <w:szCs w:val="32"/>
                <w:lang w:val="en-US" w:eastAsia="en-US" w:bidi="ar"/>
              </w:rPr>
              <w:t>缴纳</w:t>
            </w:r>
          </w:p>
        </w:tc>
      </w:tr>
    </w:tbl>
    <w:p w14:paraId="209CC5E8">
      <w:pPr>
        <w:keepNext w:val="0"/>
        <w:keepLines w:val="0"/>
        <w:pageBreakBefore w:val="0"/>
        <w:kinsoku w:val="0"/>
        <w:wordWrap/>
        <w:overflowPunct/>
        <w:topLinePunct w:val="0"/>
        <w:autoSpaceDE w:val="0"/>
        <w:autoSpaceDN w:val="0"/>
        <w:bidi w:val="0"/>
        <w:adjustRightInd w:val="0"/>
        <w:snapToGrid w:val="0"/>
        <w:spacing w:before="100" w:line="560" w:lineRule="exact"/>
        <w:ind w:left="1602" w:firstLine="19"/>
        <w:jc w:val="left"/>
        <w:textAlignment w:val="baseline"/>
        <w:rPr>
          <w:rFonts w:hint="default" w:ascii="方正小标宋简体" w:hAnsi="方正小标宋简体" w:eastAsia="方正小标宋简体" w:cs="方正小标宋简体"/>
          <w:sz w:val="44"/>
          <w:szCs w:val="44"/>
          <w:lang w:val="en-US" w:eastAsia="zh-CN"/>
        </w:rPr>
      </w:pPr>
    </w:p>
    <w:p w14:paraId="26C43E47">
      <w:pPr>
        <w:keepNext w:val="0"/>
        <w:keepLines w:val="0"/>
        <w:pageBreakBefore w:val="0"/>
        <w:kinsoku w:val="0"/>
        <w:wordWrap/>
        <w:overflowPunct/>
        <w:topLinePunct w:val="0"/>
        <w:autoSpaceDE w:val="0"/>
        <w:autoSpaceDN w:val="0"/>
        <w:bidi w:val="0"/>
        <w:adjustRightInd w:val="0"/>
        <w:snapToGrid w:val="0"/>
        <w:spacing w:before="100" w:line="560" w:lineRule="exact"/>
        <w:ind w:left="1602" w:firstLine="19"/>
        <w:jc w:val="left"/>
        <w:textAlignment w:val="baseline"/>
        <w:rPr>
          <w:rFonts w:hint="default" w:ascii="方正小标宋简体" w:hAnsi="方正小标宋简体" w:eastAsia="方正小标宋简体" w:cs="方正小标宋简体"/>
          <w:sz w:val="44"/>
          <w:szCs w:val="44"/>
          <w:lang w:val="en-US" w:eastAsia="zh-CN"/>
        </w:rPr>
      </w:pPr>
    </w:p>
    <w:p w14:paraId="1B92989F">
      <w:pPr>
        <w:keepNext w:val="0"/>
        <w:keepLines w:val="0"/>
        <w:pageBreakBefore w:val="0"/>
        <w:kinsoku w:val="0"/>
        <w:wordWrap/>
        <w:overflowPunct/>
        <w:topLinePunct w:val="0"/>
        <w:autoSpaceDE w:val="0"/>
        <w:autoSpaceDN w:val="0"/>
        <w:bidi w:val="0"/>
        <w:adjustRightInd w:val="0"/>
        <w:snapToGrid w:val="0"/>
        <w:spacing w:before="100" w:line="560" w:lineRule="exact"/>
        <w:ind w:left="1602" w:firstLine="19"/>
        <w:jc w:val="left"/>
        <w:textAlignment w:val="baseline"/>
        <w:rPr>
          <w:rFonts w:hint="default" w:ascii="方正小标宋简体" w:hAnsi="方正小标宋简体" w:eastAsia="方正小标宋简体" w:cs="方正小标宋简体"/>
          <w:sz w:val="44"/>
          <w:szCs w:val="44"/>
          <w:lang w:val="en-US" w:eastAsia="zh-CN"/>
        </w:rPr>
      </w:pPr>
    </w:p>
    <w:p w14:paraId="531CA32D">
      <w:pPr>
        <w:keepNext w:val="0"/>
        <w:keepLines w:val="0"/>
        <w:pageBreakBefore w:val="0"/>
        <w:kinsoku w:val="0"/>
        <w:wordWrap/>
        <w:overflowPunct/>
        <w:topLinePunct w:val="0"/>
        <w:autoSpaceDE w:val="0"/>
        <w:autoSpaceDN w:val="0"/>
        <w:bidi w:val="0"/>
        <w:adjustRightInd w:val="0"/>
        <w:snapToGrid w:val="0"/>
        <w:spacing w:before="100" w:line="560" w:lineRule="exact"/>
        <w:ind w:left="1602" w:firstLine="19"/>
        <w:jc w:val="left"/>
        <w:textAlignment w:val="baseline"/>
        <w:rPr>
          <w:rFonts w:hint="default" w:ascii="方正小标宋简体" w:hAnsi="方正小标宋简体" w:eastAsia="方正小标宋简体" w:cs="方正小标宋简体"/>
          <w:sz w:val="44"/>
          <w:szCs w:val="44"/>
          <w:lang w:val="en-US" w:eastAsia="zh-CN"/>
        </w:rPr>
      </w:pPr>
    </w:p>
    <w:p w14:paraId="02E1254C">
      <w:pPr>
        <w:keepNext w:val="0"/>
        <w:keepLines w:val="0"/>
        <w:pageBreakBefore w:val="0"/>
        <w:kinsoku w:val="0"/>
        <w:wordWrap/>
        <w:overflowPunct/>
        <w:topLinePunct w:val="0"/>
        <w:autoSpaceDE w:val="0"/>
        <w:autoSpaceDN w:val="0"/>
        <w:bidi w:val="0"/>
        <w:adjustRightInd w:val="0"/>
        <w:snapToGrid w:val="0"/>
        <w:spacing w:before="100" w:line="560" w:lineRule="exact"/>
        <w:ind w:left="1602" w:firstLine="19"/>
        <w:jc w:val="left"/>
        <w:textAlignment w:val="baseline"/>
        <w:rPr>
          <w:rFonts w:hint="default" w:ascii="方正小标宋简体" w:hAnsi="方正小标宋简体" w:eastAsia="方正小标宋简体" w:cs="方正小标宋简体"/>
          <w:sz w:val="44"/>
          <w:szCs w:val="44"/>
          <w:lang w:val="en-US" w:eastAsia="zh-CN"/>
        </w:rPr>
      </w:pPr>
    </w:p>
    <w:p w14:paraId="47DE9600">
      <w:pPr>
        <w:keepNext w:val="0"/>
        <w:keepLines w:val="0"/>
        <w:pageBreakBefore w:val="0"/>
        <w:numPr>
          <w:ilvl w:val="0"/>
          <w:numId w:val="0"/>
        </w:numPr>
        <w:kinsoku w:val="0"/>
        <w:wordWrap/>
        <w:overflowPunct/>
        <w:topLinePunct w:val="0"/>
        <w:autoSpaceDE w:val="0"/>
        <w:autoSpaceDN w:val="0"/>
        <w:bidi w:val="0"/>
        <w:adjustRightInd w:val="0"/>
        <w:snapToGrid w:val="0"/>
        <w:spacing w:before="1" w:line="560" w:lineRule="exact"/>
        <w:ind w:right="315" w:rightChars="0" w:firstLine="958" w:firstLineChars="300"/>
        <w:jc w:val="left"/>
        <w:textAlignment w:val="baseline"/>
        <w:rPr>
          <w:rFonts w:hint="eastAsia" w:ascii="黑体" w:hAnsi="黑体" w:eastAsia="黑体" w:cs="黑体"/>
          <w:b/>
          <w:bCs/>
          <w:snapToGrid w:val="0"/>
          <w:color w:val="000000"/>
          <w:spacing w:val="-1"/>
          <w:kern w:val="0"/>
          <w:sz w:val="32"/>
          <w:szCs w:val="32"/>
          <w:lang w:val="en-US" w:eastAsia="zh-CN"/>
        </w:rPr>
      </w:pPr>
    </w:p>
    <w:p w14:paraId="3B98DC12">
      <w:pPr>
        <w:keepNext w:val="0"/>
        <w:keepLines w:val="0"/>
        <w:pageBreakBefore w:val="0"/>
        <w:numPr>
          <w:ilvl w:val="0"/>
          <w:numId w:val="0"/>
        </w:numPr>
        <w:kinsoku w:val="0"/>
        <w:wordWrap/>
        <w:overflowPunct/>
        <w:topLinePunct w:val="0"/>
        <w:autoSpaceDE w:val="0"/>
        <w:autoSpaceDN w:val="0"/>
        <w:bidi w:val="0"/>
        <w:adjustRightInd w:val="0"/>
        <w:snapToGrid w:val="0"/>
        <w:spacing w:before="1" w:line="560" w:lineRule="exact"/>
        <w:ind w:right="315" w:rightChars="0" w:firstLine="958" w:firstLineChars="300"/>
        <w:jc w:val="left"/>
        <w:textAlignment w:val="baseline"/>
        <w:rPr>
          <w:rFonts w:hint="eastAsia" w:ascii="黑体" w:hAnsi="黑体" w:eastAsia="黑体" w:cs="黑体"/>
          <w:b/>
          <w:bCs/>
          <w:snapToGrid w:val="0"/>
          <w:color w:val="000000"/>
          <w:spacing w:val="-1"/>
          <w:kern w:val="0"/>
          <w:sz w:val="32"/>
          <w:szCs w:val="32"/>
          <w:lang w:val="en-US" w:eastAsia="zh-CN"/>
        </w:rPr>
      </w:pPr>
    </w:p>
    <w:p w14:paraId="173D5057">
      <w:pPr>
        <w:keepNext w:val="0"/>
        <w:keepLines w:val="0"/>
        <w:pageBreakBefore w:val="0"/>
        <w:numPr>
          <w:ilvl w:val="0"/>
          <w:numId w:val="0"/>
        </w:numPr>
        <w:kinsoku w:val="0"/>
        <w:wordWrap/>
        <w:overflowPunct/>
        <w:topLinePunct w:val="0"/>
        <w:autoSpaceDE w:val="0"/>
        <w:autoSpaceDN w:val="0"/>
        <w:bidi w:val="0"/>
        <w:adjustRightInd w:val="0"/>
        <w:snapToGrid w:val="0"/>
        <w:spacing w:before="1" w:line="560" w:lineRule="exact"/>
        <w:ind w:right="315" w:rightChars="0"/>
        <w:jc w:val="left"/>
        <w:textAlignment w:val="baseline"/>
        <w:rPr>
          <w:rFonts w:hint="eastAsia" w:ascii="黑体" w:hAnsi="黑体" w:eastAsia="黑体" w:cs="黑体"/>
          <w:b/>
          <w:bCs/>
          <w:snapToGrid w:val="0"/>
          <w:color w:val="000000"/>
          <w:spacing w:val="-1"/>
          <w:kern w:val="0"/>
          <w:sz w:val="32"/>
          <w:szCs w:val="32"/>
          <w:lang w:val="en-US" w:eastAsia="zh-CN"/>
        </w:rPr>
      </w:pPr>
      <w:r>
        <w:rPr>
          <w:rFonts w:hint="eastAsia" w:ascii="黑体" w:hAnsi="黑体" w:eastAsia="黑体" w:cs="黑体"/>
          <w:b/>
          <w:bCs/>
          <w:snapToGrid w:val="0"/>
          <w:color w:val="000000"/>
          <w:spacing w:val="-1"/>
          <w:kern w:val="0"/>
          <w:sz w:val="32"/>
          <w:szCs w:val="32"/>
          <w:lang w:val="en-US" w:eastAsia="zh-CN"/>
        </w:rPr>
        <w:t>附件4</w:t>
      </w:r>
    </w:p>
    <w:p w14:paraId="1BBF5DBB">
      <w:pPr>
        <w:keepNext w:val="0"/>
        <w:keepLines w:val="0"/>
        <w:pageBreakBefore w:val="0"/>
        <w:kinsoku w:val="0"/>
        <w:wordWrap/>
        <w:overflowPunct/>
        <w:topLinePunct w:val="0"/>
        <w:autoSpaceDE w:val="0"/>
        <w:autoSpaceDN w:val="0"/>
        <w:bidi w:val="0"/>
        <w:adjustRightInd w:val="0"/>
        <w:snapToGrid w:val="0"/>
        <w:spacing w:before="100" w:line="560" w:lineRule="exact"/>
        <w:ind w:firstLine="319" w:firstLineChars="100"/>
        <w:jc w:val="left"/>
        <w:textAlignment w:val="baseline"/>
        <w:rPr>
          <w:rFonts w:ascii="仿宋" w:hAnsi="仿宋" w:eastAsia="仿宋" w:cs="仿宋"/>
          <w:snapToGrid w:val="0"/>
          <w:color w:val="000000"/>
          <w:kern w:val="0"/>
          <w:sz w:val="31"/>
          <w:szCs w:val="31"/>
          <w:lang w:val="en-US" w:eastAsia="en-US" w:bidi="ar-SA"/>
        </w:rPr>
      </w:pPr>
      <w:r>
        <w:rPr>
          <w:rFonts w:hint="eastAsia" w:ascii="黑体" w:hAnsi="黑体" w:eastAsia="黑体" w:cs="黑体"/>
          <w:b/>
          <w:bCs/>
          <w:snapToGrid w:val="0"/>
          <w:color w:val="000000"/>
          <w:spacing w:val="-1"/>
          <w:kern w:val="0"/>
          <w:sz w:val="32"/>
          <w:szCs w:val="32"/>
          <w:lang w:val="en-US" w:eastAsia="zh-CN"/>
        </w:rPr>
        <w:drawing>
          <wp:anchor distT="0" distB="0" distL="114300" distR="114300" simplePos="0" relativeHeight="251664384" behindDoc="0" locked="0" layoutInCell="1" allowOverlap="1">
            <wp:simplePos x="0" y="0"/>
            <wp:positionH relativeFrom="column">
              <wp:posOffset>-26670</wp:posOffset>
            </wp:positionH>
            <wp:positionV relativeFrom="paragraph">
              <wp:posOffset>1233170</wp:posOffset>
            </wp:positionV>
            <wp:extent cx="5262880" cy="6842760"/>
            <wp:effectExtent l="0" t="0" r="13970" b="15240"/>
            <wp:wrapNone/>
            <wp:docPr id="2" name="图片 2" descr="e6c0372de529261db437099ca1d0b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c0372de529261db437099ca1d0b0f5"/>
                    <pic:cNvPicPr>
                      <a:picLocks noChangeAspect="1"/>
                    </pic:cNvPicPr>
                  </pic:nvPicPr>
                  <pic:blipFill>
                    <a:blip r:embed="rId5"/>
                    <a:stretch>
                      <a:fillRect/>
                    </a:stretch>
                  </pic:blipFill>
                  <pic:spPr>
                    <a:xfrm>
                      <a:off x="0" y="0"/>
                      <a:ext cx="5262880" cy="6842760"/>
                    </a:xfrm>
                    <a:prstGeom prst="rect">
                      <a:avLst/>
                    </a:prstGeom>
                  </pic:spPr>
                </pic:pic>
              </a:graphicData>
            </a:graphic>
          </wp:anchor>
        </w:drawing>
      </w:r>
      <w:r>
        <w:rPr>
          <w:rFonts w:hint="eastAsia" w:ascii="方正小标宋简体" w:hAnsi="方正小标宋简体" w:eastAsia="方正小标宋简体" w:cs="方正小标宋简体"/>
          <w:sz w:val="44"/>
          <w:szCs w:val="44"/>
          <w:lang w:val="en-US" w:eastAsia="zh-CN"/>
        </w:rPr>
        <w:t>瑶海安徽皖信人力资源管理有限公司“12•28”一般高处坠落事故</w:t>
      </w:r>
      <w:r>
        <w:rPr>
          <w:rFonts w:hint="eastAsia" w:ascii="方正小标宋简体" w:hAnsi="方正小标宋简体" w:eastAsia="方正小标宋简体" w:cs="方正小标宋简体"/>
          <w:sz w:val="44"/>
          <w:szCs w:val="44"/>
          <w:lang w:val="en-US" w:eastAsia="en-US"/>
        </w:rPr>
        <w:t>防范和整改措施落实情况</w:t>
      </w:r>
      <w:r>
        <w:rPr>
          <w:rFonts w:hint="eastAsia" w:ascii="方正小标宋简体" w:hAnsi="方正小标宋简体" w:eastAsia="方正小标宋简体" w:cs="方正小标宋简体"/>
          <w:sz w:val="44"/>
          <w:szCs w:val="44"/>
          <w:lang w:val="en-US" w:eastAsia="zh-CN"/>
        </w:rPr>
        <w:t>评估签到表</w:t>
      </w:r>
      <w:r>
        <w:rPr>
          <w:rFonts w:hint="default" w:ascii="黑体" w:hAnsi="黑体" w:eastAsia="黑体" w:cs="黑体"/>
          <w:b/>
          <w:bCs/>
          <w:snapToGrid w:val="0"/>
          <w:color w:val="000000"/>
          <w:spacing w:val="-1"/>
          <w:kern w:val="0"/>
          <w:sz w:val="32"/>
          <w:szCs w:val="32"/>
          <w:lang w:val="en-US" w:eastAsia="zh-CN"/>
        </w:rPr>
        <w:drawing>
          <wp:inline distT="0" distB="0" distL="114300" distR="114300">
            <wp:extent cx="5262880" cy="6537960"/>
            <wp:effectExtent l="0" t="0" r="13970" b="15240"/>
            <wp:docPr id="1" name="图片 1" descr="瑶海安徽皖信人力资源管理有限公司“12•28”一般高处坠落事故防范和整改措施落实情况评估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瑶海安徽皖信人力资源管理有限公司“12•28”一般高处坠落事故防范和整改措施落实情况评估签到表"/>
                    <pic:cNvPicPr>
                      <a:picLocks noChangeAspect="1"/>
                    </pic:cNvPicPr>
                  </pic:nvPicPr>
                  <pic:blipFill>
                    <a:blip r:embed="rId6"/>
                    <a:stretch>
                      <a:fillRect/>
                    </a:stretch>
                  </pic:blipFill>
                  <pic:spPr>
                    <a:xfrm>
                      <a:off x="0" y="0"/>
                      <a:ext cx="5262880" cy="6537960"/>
                    </a:xfrm>
                    <a:prstGeom prst="rect">
                      <a:avLst/>
                    </a:prstGeom>
                  </pic:spPr>
                </pic:pic>
              </a:graphicData>
            </a:graphic>
          </wp:inline>
        </w:drawing>
      </w:r>
    </w:p>
    <w:p w14:paraId="45CF6203">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4FD3F94E">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5C2DCD97">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25E016E8">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68278854">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5364DFF5">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21AA8BF0">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5ADAF50C">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03C3EB73">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1A9B50E7">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3508A39E">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146D7AC0">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p>
    <w:p w14:paraId="45A97FFC">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eastAsia" w:ascii="黑体" w:hAnsi="黑体" w:eastAsia="黑体" w:cs="黑体"/>
          <w:b/>
          <w:bCs/>
          <w:snapToGrid w:val="0"/>
          <w:color w:val="000000"/>
          <w:spacing w:val="-1"/>
          <w:kern w:val="0"/>
          <w:sz w:val="32"/>
          <w:szCs w:val="32"/>
          <w:lang w:val="en-US" w:eastAsia="zh-CN"/>
        </w:rPr>
      </w:pPr>
      <w:r>
        <w:rPr>
          <w:rFonts w:hint="eastAsia" w:ascii="黑体" w:hAnsi="黑体" w:eastAsia="黑体" w:cs="黑体"/>
          <w:b/>
          <w:bCs/>
          <w:snapToGrid w:val="0"/>
          <w:color w:val="000000"/>
          <w:spacing w:val="-1"/>
          <w:kern w:val="0"/>
          <w:sz w:val="32"/>
          <w:szCs w:val="32"/>
          <w:lang w:val="en-US" w:eastAsia="zh-CN"/>
        </w:rPr>
        <w:t xml:space="preserve">附件5 </w:t>
      </w:r>
    </w:p>
    <w:p w14:paraId="3FD166C2">
      <w:pPr>
        <w:keepNext w:val="0"/>
        <w:keepLines w:val="0"/>
        <w:pageBreakBefore w:val="0"/>
        <w:widowControl/>
        <w:kinsoku w:val="0"/>
        <w:wordWrap/>
        <w:overflowPunct/>
        <w:topLinePunct w:val="0"/>
        <w:autoSpaceDE w:val="0"/>
        <w:autoSpaceDN w:val="0"/>
        <w:bidi w:val="0"/>
        <w:adjustRightInd w:val="0"/>
        <w:snapToGrid w:val="0"/>
        <w:spacing w:before="311" w:line="560" w:lineRule="exact"/>
        <w:ind w:firstLine="880" w:firstLineChars="200"/>
        <w:jc w:val="center"/>
        <w:textAlignment w:val="baseline"/>
        <w:rPr>
          <w:rFonts w:hint="default" w:ascii="黑体" w:hAnsi="黑体" w:eastAsia="黑体" w:cs="黑体"/>
          <w:b/>
          <w:bCs/>
          <w:snapToGrid w:val="0"/>
          <w:color w:val="000000"/>
          <w:spacing w:val="-1"/>
          <w:kern w:val="0"/>
          <w:sz w:val="32"/>
          <w:szCs w:val="32"/>
          <w:lang w:val="en-US" w:eastAsia="zh-CN"/>
        </w:rPr>
      </w:pPr>
      <w:r>
        <w:rPr>
          <w:rFonts w:hint="eastAsia" w:ascii="方正小标宋简体" w:hAnsi="方正小标宋简体" w:eastAsia="方正小标宋简体" w:cs="方正小标宋简体"/>
          <w:sz w:val="44"/>
          <w:szCs w:val="44"/>
          <w:lang w:val="en-US" w:eastAsia="zh-CN"/>
        </w:rPr>
        <w:t>现场检查照片</w:t>
      </w:r>
    </w:p>
    <w:p w14:paraId="3A2B05AE">
      <w:pPr>
        <w:keepNext w:val="0"/>
        <w:keepLines w:val="0"/>
        <w:pageBreakBefore w:val="0"/>
        <w:widowControl/>
        <w:kinsoku w:val="0"/>
        <w:wordWrap/>
        <w:overflowPunct/>
        <w:topLinePunct w:val="0"/>
        <w:autoSpaceDE w:val="0"/>
        <w:autoSpaceDN w:val="0"/>
        <w:bidi w:val="0"/>
        <w:adjustRightInd w:val="0"/>
        <w:snapToGrid w:val="0"/>
        <w:spacing w:before="311" w:line="560" w:lineRule="exact"/>
        <w:ind w:left="229"/>
        <w:jc w:val="left"/>
        <w:textAlignment w:val="baseline"/>
        <w:rPr>
          <w:rFonts w:hint="default" w:ascii="黑体" w:hAnsi="黑体" w:eastAsia="黑体" w:cs="黑体"/>
          <w:b/>
          <w:bCs/>
          <w:snapToGrid w:val="0"/>
          <w:color w:val="000000"/>
          <w:spacing w:val="-1"/>
          <w:kern w:val="0"/>
          <w:sz w:val="32"/>
          <w:szCs w:val="32"/>
          <w:lang w:val="en-US" w:eastAsia="zh-CN"/>
        </w:rPr>
      </w:pPr>
      <w:r>
        <w:rPr>
          <w:rFonts w:hint="default" w:ascii="黑体" w:hAnsi="黑体" w:eastAsia="黑体" w:cs="黑体"/>
          <w:b/>
          <w:bCs/>
          <w:snapToGrid w:val="0"/>
          <w:color w:val="000000"/>
          <w:spacing w:val="-1"/>
          <w:kern w:val="0"/>
          <w:sz w:val="32"/>
          <w:szCs w:val="32"/>
          <w:lang w:val="en-US" w:eastAsia="zh-CN"/>
        </w:rPr>
        <w:drawing>
          <wp:anchor distT="0" distB="0" distL="114300" distR="114300" simplePos="0" relativeHeight="251663360" behindDoc="0" locked="0" layoutInCell="1" allowOverlap="1">
            <wp:simplePos x="0" y="0"/>
            <wp:positionH relativeFrom="column">
              <wp:posOffset>217170</wp:posOffset>
            </wp:positionH>
            <wp:positionV relativeFrom="paragraph">
              <wp:posOffset>16510</wp:posOffset>
            </wp:positionV>
            <wp:extent cx="5264785" cy="3361055"/>
            <wp:effectExtent l="0" t="0" r="12065" b="10795"/>
            <wp:wrapNone/>
            <wp:docPr id="7" name="图片 7" descr="微信图片_202601191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60119140616"/>
                    <pic:cNvPicPr>
                      <a:picLocks noChangeAspect="1"/>
                    </pic:cNvPicPr>
                  </pic:nvPicPr>
                  <pic:blipFill>
                    <a:blip r:embed="rId7"/>
                    <a:stretch>
                      <a:fillRect/>
                    </a:stretch>
                  </pic:blipFill>
                  <pic:spPr>
                    <a:xfrm>
                      <a:off x="0" y="0"/>
                      <a:ext cx="5264785" cy="3361055"/>
                    </a:xfrm>
                    <a:prstGeom prst="rect">
                      <a:avLst/>
                    </a:prstGeom>
                  </pic:spPr>
                </pic:pic>
              </a:graphicData>
            </a:graphic>
          </wp:anchor>
        </w:drawing>
      </w:r>
    </w:p>
    <w:p w14:paraId="35F57FF0">
      <w:pPr>
        <w:keepNext w:val="0"/>
        <w:keepLines w:val="0"/>
        <w:pageBreakBefore w:val="0"/>
        <w:widowControl/>
        <w:kinsoku w:val="0"/>
        <w:wordWrap/>
        <w:overflowPunct/>
        <w:topLinePunct w:val="0"/>
        <w:autoSpaceDE w:val="0"/>
        <w:autoSpaceDN w:val="0"/>
        <w:bidi w:val="0"/>
        <w:adjustRightInd w:val="0"/>
        <w:snapToGrid w:val="0"/>
        <w:spacing w:before="311" w:line="560" w:lineRule="exact"/>
        <w:ind w:left="229"/>
        <w:jc w:val="left"/>
        <w:textAlignment w:val="baseline"/>
        <w:rPr>
          <w:rFonts w:hint="default" w:ascii="黑体" w:hAnsi="黑体" w:eastAsia="黑体" w:cs="黑体"/>
          <w:b/>
          <w:bCs/>
          <w:snapToGrid w:val="0"/>
          <w:color w:val="000000"/>
          <w:spacing w:val="-1"/>
          <w:kern w:val="0"/>
          <w:sz w:val="32"/>
          <w:szCs w:val="32"/>
          <w:lang w:val="en-US" w:eastAsia="zh-CN"/>
        </w:rPr>
      </w:pPr>
    </w:p>
    <w:p w14:paraId="21325A62">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4F37D209">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6ACD6DC5">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61D806DA">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535148E9">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r>
        <w:rPr>
          <w:rFonts w:hint="default" w:ascii="黑体" w:hAnsi="黑体" w:eastAsia="黑体" w:cs="黑体"/>
          <w:b/>
          <w:bCs/>
          <w:snapToGrid w:val="0"/>
          <w:color w:val="000000"/>
          <w:spacing w:val="-1"/>
          <w:kern w:val="0"/>
          <w:sz w:val="32"/>
          <w:szCs w:val="32"/>
          <w:lang w:val="en-US" w:eastAsia="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304165</wp:posOffset>
            </wp:positionV>
            <wp:extent cx="5264785" cy="3356610"/>
            <wp:effectExtent l="0" t="0" r="12065" b="15240"/>
            <wp:wrapNone/>
            <wp:docPr id="5" name="图片 5" descr="6bd6c52bcf302bfbcd17c0d31e2e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bd6c52bcf302bfbcd17c0d31e2ea94"/>
                    <pic:cNvPicPr>
                      <a:picLocks noChangeAspect="1"/>
                    </pic:cNvPicPr>
                  </pic:nvPicPr>
                  <pic:blipFill>
                    <a:blip r:embed="rId8"/>
                    <a:stretch>
                      <a:fillRect/>
                    </a:stretch>
                  </pic:blipFill>
                  <pic:spPr>
                    <a:xfrm>
                      <a:off x="0" y="0"/>
                      <a:ext cx="5264785" cy="3356610"/>
                    </a:xfrm>
                    <a:prstGeom prst="rect">
                      <a:avLst/>
                    </a:prstGeom>
                  </pic:spPr>
                </pic:pic>
              </a:graphicData>
            </a:graphic>
          </wp:anchor>
        </w:drawing>
      </w:r>
    </w:p>
    <w:p w14:paraId="571B9854">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005DB2C4">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18A60CCE">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42038715">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4CBB39B4">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3EEA84CD">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08407610">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p>
    <w:p w14:paraId="24825BF3">
      <w:pPr>
        <w:keepNext w:val="0"/>
        <w:keepLines w:val="0"/>
        <w:pageBreakBefore w:val="0"/>
        <w:widowControl/>
        <w:kinsoku w:val="0"/>
        <w:wordWrap/>
        <w:overflowPunct/>
        <w:topLinePunct w:val="0"/>
        <w:autoSpaceDE w:val="0"/>
        <w:autoSpaceDN w:val="0"/>
        <w:bidi w:val="0"/>
        <w:adjustRightInd w:val="0"/>
        <w:snapToGrid w:val="0"/>
        <w:spacing w:before="311" w:line="560" w:lineRule="exact"/>
        <w:jc w:val="left"/>
        <w:textAlignment w:val="baseline"/>
        <w:rPr>
          <w:rFonts w:hint="default" w:ascii="黑体" w:hAnsi="黑体" w:eastAsia="黑体" w:cs="黑体"/>
          <w:b/>
          <w:bCs/>
          <w:snapToGrid w:val="0"/>
          <w:color w:val="000000"/>
          <w:spacing w:val="-1"/>
          <w:kern w:val="0"/>
          <w:sz w:val="32"/>
          <w:szCs w:val="32"/>
          <w:lang w:val="en-US" w:eastAsia="zh-CN"/>
        </w:rPr>
      </w:pPr>
      <w:r>
        <w:rPr>
          <w:rFonts w:hint="default" w:ascii="黑体" w:hAnsi="黑体" w:eastAsia="黑体" w:cs="黑体"/>
          <w:b/>
          <w:bCs/>
          <w:snapToGrid w:val="0"/>
          <w:color w:val="000000"/>
          <w:spacing w:val="-1"/>
          <w:kern w:val="0"/>
          <w:sz w:val="32"/>
          <w:szCs w:val="32"/>
          <w:lang w:val="en-US" w:eastAsia="zh-CN"/>
        </w:rPr>
        <w:drawing>
          <wp:anchor distT="0" distB="0" distL="114300" distR="114300" simplePos="0" relativeHeight="251661312" behindDoc="0" locked="0" layoutInCell="1" allowOverlap="1">
            <wp:simplePos x="0" y="0"/>
            <wp:positionH relativeFrom="column">
              <wp:posOffset>171450</wp:posOffset>
            </wp:positionH>
            <wp:positionV relativeFrom="paragraph">
              <wp:posOffset>411480</wp:posOffset>
            </wp:positionV>
            <wp:extent cx="5264785" cy="3947160"/>
            <wp:effectExtent l="0" t="0" r="12065" b="15240"/>
            <wp:wrapNone/>
            <wp:docPr id="8" name="图片 8" descr="微信图片_202601191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119112142"/>
                    <pic:cNvPicPr>
                      <a:picLocks noChangeAspect="1"/>
                    </pic:cNvPicPr>
                  </pic:nvPicPr>
                  <pic:blipFill>
                    <a:blip r:embed="rId9"/>
                    <a:stretch>
                      <a:fillRect/>
                    </a:stretch>
                  </pic:blipFill>
                  <pic:spPr>
                    <a:xfrm>
                      <a:off x="0" y="0"/>
                      <a:ext cx="5264785" cy="3947160"/>
                    </a:xfrm>
                    <a:prstGeom prst="rect">
                      <a:avLst/>
                    </a:prstGeom>
                  </pic:spPr>
                </pic:pic>
              </a:graphicData>
            </a:graphic>
          </wp:anchor>
        </w:drawing>
      </w:r>
      <w:r>
        <w:rPr>
          <w:rFonts w:hint="default" w:ascii="黑体" w:hAnsi="黑体" w:eastAsia="黑体" w:cs="黑体"/>
          <w:b/>
          <w:bCs/>
          <w:snapToGrid w:val="0"/>
          <w:color w:val="000000"/>
          <w:spacing w:val="-1"/>
          <w:kern w:val="0"/>
          <w:sz w:val="32"/>
          <w:szCs w:val="32"/>
          <w:lang w:val="en-US" w:eastAsia="zh-CN"/>
        </w:rPr>
        <w:drawing>
          <wp:anchor distT="0" distB="0" distL="114300" distR="114300" simplePos="0" relativeHeight="251662336" behindDoc="0" locked="0" layoutInCell="1" allowOverlap="1">
            <wp:simplePos x="0" y="0"/>
            <wp:positionH relativeFrom="column">
              <wp:posOffset>182245</wp:posOffset>
            </wp:positionH>
            <wp:positionV relativeFrom="paragraph">
              <wp:posOffset>4525645</wp:posOffset>
            </wp:positionV>
            <wp:extent cx="5264785" cy="3914775"/>
            <wp:effectExtent l="0" t="0" r="12065" b="9525"/>
            <wp:wrapNone/>
            <wp:docPr id="6" name="图片 6" descr="微信图片_2026011914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60119140635"/>
                    <pic:cNvPicPr>
                      <a:picLocks noChangeAspect="1"/>
                    </pic:cNvPicPr>
                  </pic:nvPicPr>
                  <pic:blipFill>
                    <a:blip r:embed="rId10"/>
                    <a:stretch>
                      <a:fillRect/>
                    </a:stretch>
                  </pic:blipFill>
                  <pic:spPr>
                    <a:xfrm>
                      <a:off x="0" y="0"/>
                      <a:ext cx="5264785" cy="3914775"/>
                    </a:xfrm>
                    <a:prstGeom prst="rect">
                      <a:avLst/>
                    </a:prstGeom>
                  </pic:spPr>
                </pic:pic>
              </a:graphicData>
            </a:graphic>
          </wp:anchor>
        </w:drawing>
      </w:r>
    </w:p>
    <w:sectPr>
      <w:footerReference r:id="rId3" w:type="default"/>
      <w:pgSz w:w="11906" w:h="16838"/>
      <w:pgMar w:top="1440" w:right="1800" w:bottom="1440" w:left="1800" w:header="851" w:footer="992" w:gutter="0"/>
      <w:pgNumType w:fmt="decimalFullWidt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44D990B-A366-4931-A447-AAC09D10ED86}"/>
  </w:font>
  <w:font w:name="黑体">
    <w:panose1 w:val="02010609060101010101"/>
    <w:charset w:val="86"/>
    <w:family w:val="auto"/>
    <w:pitch w:val="default"/>
    <w:sig w:usb0="800002BF" w:usb1="38CF7CFA" w:usb2="00000016" w:usb3="00000000" w:csb0="00040001" w:csb1="00000000"/>
    <w:embedRegular r:id="rId2" w:fontKey="{9636D3F3-D87E-4CF8-962C-7ED4024F470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FangSong_GB2312">
    <w:altName w:val="仿宋"/>
    <w:panose1 w:val="02010609030101010101"/>
    <w:charset w:val="86"/>
    <w:family w:val="auto"/>
    <w:pitch w:val="default"/>
    <w:sig w:usb0="00000000" w:usb1="00000000" w:usb2="00000000" w:usb3="00000000" w:csb0="00040000" w:csb1="00000000"/>
    <w:embedRegular r:id="rId3" w:fontKey="{6E05722C-D122-41C0-91A7-8BB3656030DE}"/>
  </w:font>
  <w:font w:name="仿宋">
    <w:panose1 w:val="02010609060101010101"/>
    <w:charset w:val="86"/>
    <w:family w:val="auto"/>
    <w:pitch w:val="default"/>
    <w:sig w:usb0="800002BF" w:usb1="38CF7CFA" w:usb2="00000016" w:usb3="00000000" w:csb0="00040001" w:csb1="00000000"/>
    <w:embedRegular r:id="rId4" w:fontKey="{71D50784-70BA-410A-87AA-5497635586F4}"/>
  </w:font>
  <w:font w:name="仿宋_GB2312">
    <w:panose1 w:val="02010609030101010101"/>
    <w:charset w:val="86"/>
    <w:family w:val="auto"/>
    <w:pitch w:val="default"/>
    <w:sig w:usb0="00000001" w:usb1="080E0000" w:usb2="00000000" w:usb3="00000000" w:csb0="00040000" w:csb1="00000000"/>
    <w:embedRegular r:id="rId5" w:fontKey="{7B61935F-A9D0-4FE9-A424-FDCAE01C2B1C}"/>
  </w:font>
  <w:font w:name="Arial Black">
    <w:panose1 w:val="020B0A04020102020204"/>
    <w:charset w:val="00"/>
    <w:family w:val="swiss"/>
    <w:pitch w:val="default"/>
    <w:sig w:usb0="00000287" w:usb1="00000000" w:usb2="00000000" w:usb3="00000000" w:csb0="2000009F" w:csb1="DFD70000"/>
  </w:font>
  <w:font w:name="方正小标宋简体">
    <w:panose1 w:val="02000000000000000000"/>
    <w:charset w:val="86"/>
    <w:family w:val="auto"/>
    <w:pitch w:val="default"/>
    <w:sig w:usb0="00000001" w:usb1="08000000" w:usb2="00000000" w:usb3="00000000" w:csb0="00040000" w:csb1="00000000"/>
    <w:embedRegular r:id="rId6" w:fontKey="{95E786AE-3E22-4929-891F-899B005E2F5C}"/>
  </w:font>
  <w:font w:name="楷体_GB2312">
    <w:panose1 w:val="02010609030101010101"/>
    <w:charset w:val="86"/>
    <w:family w:val="auto"/>
    <w:pitch w:val="default"/>
    <w:sig w:usb0="00000001" w:usb1="080E0000" w:usb2="00000000" w:usb3="00000000" w:csb0="00040000" w:csb1="00000000"/>
    <w:embedRegular r:id="rId7" w:fontKey="{B6C82206-4125-4AB3-92AD-2526196AF375}"/>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257FF">
    <w:pPr>
      <w:pStyle w:val="5"/>
      <w:tabs>
        <w:tab w:val="left" w:pos="531"/>
        <w:tab w:val="clear" w:pos="4153"/>
      </w:tabs>
      <w:rPr>
        <w:rFonts w:hint="eastAsia" w:eastAsiaTheme="minorEastAsia"/>
        <w:lang w:val="en-US" w:eastAsia="zh-CN"/>
      </w:rPr>
    </w:pPr>
    <w:r>
      <w:rPr>
        <w:rFonts w:hint="default"/>
        <w:sz w:val="18"/>
        <w:lang w:val="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BAE81">
                          <w:pPr>
                            <w:pStyle w:val="5"/>
                            <w:rPr>
                              <w:rFonts w:hint="eastAsia"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65BAE81">
                    <w:pPr>
                      <w:pStyle w:val="5"/>
                      <w:rPr>
                        <w:rFonts w:hint="eastAsia" w:eastAsiaTheme="minorEastAsia"/>
                        <w:lang w:val="en-US" w:eastAsia="zh-CN"/>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B8565A"/>
    <w:rsid w:val="00111276"/>
    <w:rsid w:val="00A90E9C"/>
    <w:rsid w:val="06CC603E"/>
    <w:rsid w:val="11471309"/>
    <w:rsid w:val="1F460C2C"/>
    <w:rsid w:val="22930D9A"/>
    <w:rsid w:val="289E5635"/>
    <w:rsid w:val="29DB1B2B"/>
    <w:rsid w:val="2A8B71DD"/>
    <w:rsid w:val="2B087417"/>
    <w:rsid w:val="34F95019"/>
    <w:rsid w:val="354B4447"/>
    <w:rsid w:val="386F62ED"/>
    <w:rsid w:val="3A654204"/>
    <w:rsid w:val="40F0342C"/>
    <w:rsid w:val="45092A5B"/>
    <w:rsid w:val="48CE79BB"/>
    <w:rsid w:val="4F5810CC"/>
    <w:rsid w:val="56A54DF2"/>
    <w:rsid w:val="623600B0"/>
    <w:rsid w:val="7E491EE2"/>
    <w:rsid w:val="7FB85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qFormat/>
    <w:uiPriority w:val="0"/>
    <w:pPr>
      <w:keepNext/>
      <w:keepLines/>
      <w:widowControl w:val="0"/>
      <w:spacing w:before="260" w:after="260" w:line="415" w:lineRule="auto"/>
      <w:ind w:left="0" w:right="0"/>
      <w:jc w:val="both"/>
      <w:outlineLvl w:val="1"/>
    </w:pPr>
    <w:rPr>
      <w:rFonts w:ascii="Calibri Light" w:hAnsi="Calibri Light" w:eastAsia="宋体" w:cs="Times New Roman"/>
      <w:b/>
      <w:bCs/>
      <w:kern w:val="2"/>
      <w:sz w:val="32"/>
      <w:szCs w:val="3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FangSong_GB2312" w:hAnsi="FangSong_GB2312" w:eastAsia="FangSong_GB2312" w:cs="FangSong_GB2312"/>
      <w:sz w:val="31"/>
      <w:szCs w:val="31"/>
      <w:lang w:val="en-US" w:eastAsia="en-US" w:bidi="ar-SA"/>
    </w:rPr>
  </w:style>
  <w:style w:type="paragraph" w:styleId="4">
    <w:name w:val="Body Text Indent 2"/>
    <w:basedOn w:val="1"/>
    <w:qFormat/>
    <w:uiPriority w:val="0"/>
    <w:pPr>
      <w:spacing w:after="120" w:line="480" w:lineRule="auto"/>
      <w:ind w:left="420" w:leftChars="200" w:firstLine="0" w:firstLineChars="0"/>
    </w:pPr>
    <w:rPr>
      <w:rFonts w:ascii="Times New Roman" w:hAnsi="Times New Roman" w:eastAsia="宋体" w:cs="Times New Roman"/>
      <w:szCs w:val="24"/>
    </w:rPr>
  </w:style>
  <w:style w:type="paragraph" w:styleId="5">
    <w:name w:val="footer"/>
    <w:qFormat/>
    <w:uiPriority w:val="0"/>
    <w:pPr>
      <w:widowControl w:val="0"/>
      <w:tabs>
        <w:tab w:val="center" w:pos="4153"/>
        <w:tab w:val="right" w:pos="8306"/>
      </w:tabs>
      <w:snapToGrid w:val="0"/>
      <w:jc w:val="left"/>
    </w:pPr>
    <w:rPr>
      <w:rFonts w:asciiTheme="minorHAnsi" w:hAnsiTheme="minorHAnsi" w:eastAsiaTheme="minorEastAsia" w:cstheme="minorBidi"/>
      <w:kern w:val="2"/>
      <w:sz w:val="18"/>
      <w:szCs w:val="24"/>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28"/>
      <w:szCs w:val="28"/>
      <w:lang w:val="en-US" w:eastAsia="en-US" w:bidi="ar-SA"/>
    </w:rPr>
  </w:style>
  <w:style w:type="paragraph" w:customStyle="1" w:styleId="11">
    <w:name w:val="表格文字"/>
    <w:basedOn w:val="1"/>
    <w:qFormat/>
    <w:uiPriority w:val="0"/>
    <w:pPr>
      <w:spacing w:line="360" w:lineRule="auto"/>
      <w:jc w:val="center"/>
    </w:pPr>
    <w:rPr>
      <w:rFonts w:ascii="仿宋_GB2312" w:hAnsi="Arial Black" w:eastAsia="宋体" w:cs="Times New Roman"/>
      <w:kern w:val="44"/>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978805ae-f9eb-49c3-8f58-09456b094b00</errorID>
      <errorWord>明查暗访</errorWord>
      <group>L1_Word</group>
      <groupName>字词问题</groupName>
      <ability>L2_Typo</ability>
      <abilityName>字词错误</abilityName>
      <candidateList>
        <item>明察暗访</item>
      </candidateList>
      <explain>明里观察，暗里询问了解（情况等）。</explain>
      <paraID> BA304AB</paraID>
      <start>230</start>
      <end>234</end>
      <status>modified</status>
      <modifiedWord>明察暗访</modifiedWord>
      <trackRevisions>false</trackRevisions>
    </reviewItem>
    <reviewItem>
      <errorID>b9e53e33-a771-4ff4-98cd-489931d99278</errorID>
      <errorWord>）要</errorWord>
      <group>L1_Word</group>
      <groupName>字词问题</groupName>
      <ability>L2_Typo</ability>
      <abilityName>字词错误</abilityName>
      <candidateList>
        <item>）</item>
      </candidateList>
      <explain/>
      <paraID>38D04560</paraID>
      <start>2</start>
      <end>4</end>
      <status>ignored</status>
      <modifiedWord/>
      <trackRevisions>false</trackRevisions>
    </reviewItem>
    <reviewItem>
      <errorID>45c78176-f9d5-4078-9664-5e059d3168a8</errorID>
      <errorWord>，可</errorWord>
      <group>L1_Word</group>
      <groupName>字词问题</groupName>
      <ability>L2_Typo</ability>
      <abilityName>字词错误</abilityName>
      <candidateList>
        <item>，</item>
      </candidateList>
      <explain/>
      <paraID>5961E0F9</paraID>
      <start>26</start>
      <end>27</end>
      <status>modified</status>
      <modifiedWord>，</modifiedWord>
      <trackRevisions>false</trackRevisions>
    </reviewItem>
    <reviewItem>
      <errorID>962a87dd-1d24-48fe-9b64-73fd5654ae54</errorID>
      <errorWord>纳管</errorWord>
      <group>L1_Word</group>
      <groupName>字词问题</groupName>
      <ability>L2_Typo</ability>
      <abilityName>字词错误</abilityName>
      <candidateList>
        <item>监管</item>
      </candidateList>
      <explain/>
      <paraID>62AC6461</paraID>
      <start>47</start>
      <end>49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f13f2-1f6e-456f-81cf-4ed05f9106cb}">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3134</Words>
  <Characters>3237</Characters>
  <Lines>0</Lines>
  <Paragraphs>0</Paragraphs>
  <TotalTime>48</TotalTime>
  <ScaleCrop>false</ScaleCrop>
  <LinksUpToDate>false</LinksUpToDate>
  <CharactersWithSpaces>3257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2026-01-16T07:10:00Z</dcterms:created>
  <dc:creator>WPS_1641996543</dc:creator>
  <cp:lastModifiedBy>WPS_1641996543</cp:lastModifiedBy>
  <cp:lastPrinted>2026-01-20T01:18:00Z</cp:lastPrinted>
  <dcterms:modified xsi:type="dcterms:W3CDTF">2026-01-20T01:42:18Z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DAC3DF26A8674777BE70021474BDBAF0_13</vt:lpwstr>
  </property>
  <property fmtid="{D5CDD505-2E9C-101B-9397-08002B2CF9AE}" pid="4" name="KSOTemplateDocerSaveRecord">
    <vt:lpwstr>eyJoZGlkIjoiOGU2ZDZlNWI1YzExMzJjNGNkNzYzMTQ2NDNkZDgyYTciLCJ1c2VySWQiOiIxMzEzODk4NDg0In0=</vt:lpwstr>
  </property>
</Properties>
</file>