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-374015</wp:posOffset>
                </wp:positionV>
                <wp:extent cx="1143000" cy="428625"/>
                <wp:effectExtent l="0" t="0" r="0" b="9525"/>
                <wp:wrapNone/>
                <wp:docPr id="3" name="文本框 3"/>
                <wp:cNvGraphicFramePr/>
                <a:graphic xmlns:a="http://schemas.openxmlformats.org/drawingml/2006/main">
                  <a:graphicData uri="http://schemas.microsoft.com/office/word/2010/wordprocessingShape">
                    <wps:wsp>
                      <wps:cNvSpPr txBox="1"/>
                      <wps:spPr>
                        <a:xfrm>
                          <a:off x="0" y="0"/>
                          <a:ext cx="1143000" cy="428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pt;margin-top:-29.45pt;height:33.75pt;width:90pt;z-index:251659264;mso-width-relative:page;mso-height-relative:page;" fillcolor="#FFFFFF [3201]" filled="t" stroked="f" coordsize="21600,21600" o:gfxdata="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ZoMmtUAAAAIAQAADwAAAAAA&#10;AAABACAAAAAiAAAAZHJzL2Rvd25yZXYueG1sUEsBAhQAFAAAAAgAh07iQGXPMddPAgAAjwQAAA4A&#10;AAAAAAAAAQAgAAAAJAEAAGRycy9lMm9Eb2MueG1sUEsFBgAAAAAGAAYAWQEAAOUFAAAAAA==&#10;">
                <v:fill on="t" focussize="0,0"/>
                <v:stroke on="f" weight="0.5pt"/>
                <v:imagedata o:title=""/>
                <o:lock v:ext="edit" aspectratio="f"/>
                <v:textbox>
                  <w:txbxContent>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附件7</w:t>
                      </w:r>
                    </w:p>
                  </w:txbxContent>
                </v:textbox>
              </v:shape>
            </w:pict>
          </mc:Fallback>
        </mc:AlternateContent>
      </w:r>
      <w:r>
        <w:rPr>
          <w:rFonts w:hint="eastAsia" w:ascii="方正小标宋_GBK" w:hAnsi="方正小标宋_GBK" w:eastAsia="方正小标宋_GBK" w:cs="方正小标宋_GBK"/>
          <w:sz w:val="44"/>
          <w:szCs w:val="44"/>
          <w:lang w:eastAsia="zh-CN"/>
        </w:rPr>
        <w:t>区农林水务局</w:t>
      </w:r>
      <w:r>
        <w:rPr>
          <w:rFonts w:hint="eastAsia" w:ascii="方正小标宋_GBK" w:hAnsi="方正小标宋_GBK" w:eastAsia="方正小标宋_GBK" w:cs="方正小标宋_GBK"/>
          <w:sz w:val="44"/>
          <w:szCs w:val="44"/>
        </w:rPr>
        <w:t>行政权力中介服务清单</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（2025年版）</w:t>
      </w:r>
    </w:p>
    <w:p>
      <w:pPr>
        <w:jc w:val="center"/>
        <w:rPr>
          <w:rFonts w:hint="eastAsia" w:ascii="黑体" w:hAnsi="黑体" w:eastAsia="黑体" w:cs="黑体"/>
          <w:sz w:val="30"/>
          <w:szCs w:val="30"/>
        </w:rPr>
      </w:pPr>
      <w:r>
        <w:rPr>
          <w:rFonts w:hint="eastAsia" w:ascii="黑体" w:hAnsi="黑体" w:eastAsia="黑体" w:cs="黑体"/>
          <w:sz w:val="30"/>
          <w:szCs w:val="30"/>
        </w:rPr>
        <w:t>（保留事项）</w:t>
      </w:r>
    </w:p>
    <w:tbl>
      <w:tblPr>
        <w:tblStyle w:val="2"/>
        <w:tblW w:w="932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062"/>
        <w:gridCol w:w="4771"/>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blHeader/>
        </w:trPr>
        <w:tc>
          <w:tcPr>
            <w:tcW w:w="68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对应权力事项名称</w:t>
            </w:r>
          </w:p>
        </w:tc>
        <w:tc>
          <w:tcPr>
            <w:tcW w:w="180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委托主体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1" w:type="dxa"/>
            <w:gridSpan w:val="4"/>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七、区农林水务局（区乡村振兴局）、区水务综合服务管理中心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肥料产品检测</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农业农村部门涉及肥料监管的行政权力事项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农药检测</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农业农村部门涉及农药监管的行政权力事项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拖拉机、联合收割机驾驶人身体条件证明</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拖拉机和联合收割机驾驶证核发、拖拉机和联合收割机登记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种子质量检验</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sz w:val="21"/>
                <w:szCs w:val="21"/>
                <w:highlight w:val="none"/>
                <w:u w:val="none"/>
              </w:rPr>
            </w:pPr>
            <w:r>
              <w:rPr>
                <w:rFonts w:hint="default" w:ascii="Times New Roman" w:hAnsi="Times New Roman" w:eastAsia="仿宋_GB2312" w:cs="Times New Roman"/>
                <w:i w:val="0"/>
                <w:iCs w:val="0"/>
                <w:color w:val="000000"/>
                <w:spacing w:val="-6"/>
                <w:kern w:val="0"/>
                <w:sz w:val="21"/>
                <w:szCs w:val="21"/>
                <w:highlight w:val="none"/>
                <w:u w:val="none"/>
                <w:lang w:val="en-US" w:eastAsia="zh-CN" w:bidi="ar"/>
              </w:rPr>
              <w:t>农业农村部门涉及种子质量监管的行政权力事项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兽药质量检测</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pacing w:val="-6"/>
                <w:sz w:val="21"/>
                <w:szCs w:val="21"/>
                <w:highlight w:val="none"/>
                <w:u w:val="none"/>
              </w:rPr>
            </w:pPr>
            <w:r>
              <w:rPr>
                <w:rFonts w:hint="default" w:ascii="Times New Roman" w:hAnsi="Times New Roman" w:eastAsia="仿宋_GB2312" w:cs="Times New Roman"/>
                <w:i w:val="0"/>
                <w:iCs w:val="0"/>
                <w:color w:val="000000"/>
                <w:spacing w:val="-6"/>
                <w:kern w:val="0"/>
                <w:sz w:val="21"/>
                <w:szCs w:val="21"/>
                <w:highlight w:val="none"/>
                <w:u w:val="none"/>
                <w:lang w:val="en-US" w:eastAsia="zh-CN" w:bidi="ar"/>
              </w:rPr>
              <w:t>农业农村部门涉及兽药质量监管的行政权力事项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水利基建项目初步设计文件编制</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水利基建项目初步设计文件审批</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水利工程建设蓄水安全鉴定报告编制</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水利工程政府验收</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8</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水利工程竣工检测报告编制</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水利工程政府验收</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行政相对人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水库大坝、水闸安全评价报告编制</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水库大坝、水闸安全鉴定</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行政相对人</w:t>
            </w:r>
          </w:p>
        </w:tc>
      </w:tr>
    </w:tbl>
    <w:p/>
    <w:p/>
    <w:p>
      <w:pPr>
        <w:rPr>
          <w:rFonts w:hint="eastAsia" w:ascii="黑体" w:hAnsi="黑体" w:eastAsia="黑体" w:cs="黑体"/>
          <w:sz w:val="32"/>
          <w:szCs w:val="40"/>
          <w:highlight w:val="none"/>
          <w:lang w:val="en-US" w:eastAsia="zh-CN"/>
        </w:rPr>
      </w:pPr>
    </w:p>
    <w:p>
      <w:pPr>
        <w:rPr>
          <w:rFonts w:hint="eastAsia" w:ascii="黑体" w:hAnsi="黑体" w:eastAsia="黑体" w:cs="黑体"/>
          <w:sz w:val="32"/>
          <w:szCs w:val="40"/>
          <w:highlight w:val="none"/>
          <w:lang w:val="en-US" w:eastAsia="zh-CN"/>
        </w:rPr>
      </w:pPr>
    </w:p>
    <w:p>
      <w:pPr>
        <w:rPr>
          <w:rFonts w:hint="eastAsia" w:ascii="黑体" w:hAnsi="黑体" w:eastAsia="黑体" w:cs="黑体"/>
          <w:sz w:val="32"/>
          <w:szCs w:val="40"/>
          <w:highlight w:val="none"/>
          <w:lang w:val="en-US" w:eastAsia="zh-CN"/>
        </w:rPr>
      </w:pPr>
    </w:p>
    <w:p>
      <w:pPr>
        <w:rPr>
          <w:rFonts w:hint="eastAsia" w:ascii="黑体" w:hAnsi="黑体" w:eastAsia="黑体" w:cs="黑体"/>
          <w:sz w:val="32"/>
          <w:szCs w:val="40"/>
          <w:highlight w:val="none"/>
          <w:lang w:val="en-US" w:eastAsia="zh-CN"/>
        </w:rPr>
      </w:pPr>
    </w:p>
    <w:p>
      <w:pPr>
        <w:rPr>
          <w:rFonts w:hint="eastAsia" w:ascii="黑体" w:hAnsi="黑体" w:eastAsia="黑体" w:cs="黑体"/>
          <w:sz w:val="32"/>
          <w:szCs w:val="40"/>
          <w:highlight w:val="none"/>
          <w:lang w:val="en-US" w:eastAsia="zh-CN"/>
        </w:rPr>
      </w:pPr>
    </w:p>
    <w:p>
      <w:pPr>
        <w:rPr>
          <w:rFonts w:hint="default"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附件7</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区农林水务局</w:t>
      </w:r>
      <w:bookmarkStart w:id="0" w:name="_GoBack"/>
      <w:bookmarkEnd w:id="0"/>
      <w:r>
        <w:rPr>
          <w:rFonts w:hint="eastAsia" w:ascii="方正小标宋_GBK" w:hAnsi="方正小标宋_GBK" w:eastAsia="方正小标宋_GBK" w:cs="方正小标宋_GBK"/>
          <w:sz w:val="44"/>
          <w:szCs w:val="44"/>
        </w:rPr>
        <w:t>行政权力中介服务清单</w:t>
      </w:r>
    </w:p>
    <w:p>
      <w:pPr>
        <w:jc w:val="center"/>
        <w:rPr>
          <w:rFonts w:hint="eastAsia" w:ascii="黑体" w:hAnsi="黑体" w:eastAsia="黑体" w:cs="黑体"/>
          <w:sz w:val="30"/>
          <w:szCs w:val="30"/>
          <w:highlight w:val="none"/>
        </w:rPr>
      </w:pPr>
      <w:r>
        <w:rPr>
          <w:rFonts w:hint="eastAsia" w:ascii="方正小标宋_GBK" w:hAnsi="方正小标宋_GBK" w:eastAsia="方正小标宋_GBK" w:cs="方正小标宋_GBK"/>
          <w:sz w:val="44"/>
          <w:szCs w:val="44"/>
          <w:highlight w:val="none"/>
        </w:rPr>
        <w:t>（2025年版）</w:t>
      </w:r>
      <w:r>
        <w:rPr>
          <w:rFonts w:hint="eastAsia" w:ascii="黑体" w:hAnsi="黑体" w:eastAsia="黑体" w:cs="黑体"/>
          <w:sz w:val="30"/>
          <w:szCs w:val="30"/>
          <w:highlight w:val="none"/>
        </w:rPr>
        <w:t>（</w:t>
      </w:r>
      <w:r>
        <w:rPr>
          <w:rFonts w:hint="eastAsia" w:ascii="黑体" w:hAnsi="黑体" w:eastAsia="黑体" w:cs="黑体"/>
          <w:sz w:val="30"/>
          <w:szCs w:val="30"/>
          <w:highlight w:val="none"/>
          <w:lang w:val="en-US" w:eastAsia="zh-CN"/>
        </w:rPr>
        <w:t>规范</w:t>
      </w:r>
      <w:r>
        <w:rPr>
          <w:rFonts w:hint="eastAsia" w:ascii="黑体" w:hAnsi="黑体" w:eastAsia="黑体" w:cs="黑体"/>
          <w:sz w:val="30"/>
          <w:szCs w:val="30"/>
          <w:highlight w:val="none"/>
        </w:rPr>
        <w:t>事项）</w:t>
      </w:r>
    </w:p>
    <w:tbl>
      <w:tblPr>
        <w:tblStyle w:val="2"/>
        <w:tblW w:w="9904"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667"/>
        <w:gridCol w:w="2224"/>
        <w:gridCol w:w="5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blHead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事项名称</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对应权力事项名称</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1"/>
                <w:szCs w:val="21"/>
                <w:highlight w:val="none"/>
                <w:u w:val="none"/>
                <w:lang w:val="en-US" w:eastAsia="zh-CN" w:bidi="ar"/>
              </w:rPr>
              <w:t>规范内容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904" w:type="dxa"/>
            <w:gridSpan w:val="4"/>
            <w:tcBorders>
              <w:top w:val="nil"/>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区农林水务局（区乡村振兴局）、区水务综合服务管理中心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8"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建设项目使用林地可行性报告编制</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建设项目使用林地及在森林和野生动物类型国家级自然保护区建设审批</w:t>
            </w:r>
          </w:p>
        </w:tc>
        <w:tc>
          <w:tcPr>
            <w:tcW w:w="531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申请人可按要求自行编制，也可委托有关机构编制，审批部门不得以任何形式要求申请人必须委托特定中介机构提供服务；保留审批部门现有的建设项目使用林地可行性报告技术评估、评审。</w:t>
            </w:r>
            <w:r>
              <w:rPr>
                <w:rFonts w:hint="default" w:ascii="Times New Roman" w:hAnsi="Times New Roman" w:eastAsia="仿宋_GB2312" w:cs="Times New Roman"/>
                <w:i w:val="0"/>
                <w:iCs w:val="0"/>
                <w:color w:val="000000"/>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000000"/>
                <w:kern w:val="0"/>
                <w:sz w:val="21"/>
                <w:szCs w:val="21"/>
                <w:highlight w:val="none"/>
                <w:u w:val="none"/>
                <w:lang w:val="en-US" w:eastAsia="zh-CN" w:bidi="ar"/>
              </w:rPr>
              <w:t>主要理由：根据《国务院关于第二批清理规范192 项国务院部门行政审批中介服务事项的决定》（国发〔2016 〕11 号）附件目录第81项。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1"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河道管理范围内的建设项目防洪评价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洪水影响评价类审批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申请人可按要求自行编制防洪评价报告，也可以委托有关机构编制，审批部门不得以任何形式要求申请人必须委托特定中介机构提供服务；保留审批部门现有的防洪评价报告技术评估、评审。</w:t>
            </w:r>
            <w:r>
              <w:rPr>
                <w:rFonts w:hint="default" w:ascii="Times New Roman" w:hAnsi="Times New Roman" w:eastAsia="仿宋_GB2312" w:cs="Times New Roman"/>
                <w:i w:val="0"/>
                <w:iCs w:val="0"/>
                <w:color w:val="000000"/>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000000"/>
                <w:kern w:val="0"/>
                <w:sz w:val="21"/>
                <w:szCs w:val="21"/>
                <w:highlight w:val="none"/>
                <w:u w:val="none"/>
                <w:lang w:val="en-US" w:eastAsia="zh-CN" w:bidi="ar"/>
              </w:rPr>
              <w:t>主要理由：《安徽省人民政府关于贯彻落实国务院第一批清理规范行政审批中介服务事项的通知》（皖政〔2015〕135号）附件目录第35项，已作规范处理。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河道及水工程管理范围内有关活动方案编制</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河道管理范围内特定活动审批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申请人可按要求自行编制河道及水工程管理范围内有关活动方案，也可以委托有关机构编制，审批部门不得以任何形式要求申请人必须委托特定中介机构提供服务。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水工程是否符合流域治理、开发、保护要求或者防洪要求专题论证</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洪水影响评价类审批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建设项目水资源论证</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取水许可</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7"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生产建设项目水土保持方案编制</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生产建设项目水土保持方案审批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申请人可按要求自行编制水土保持方案，也可委托有关机构编制，审批部门不得以任何形式要求申请人必须委托特定中介机构提供服务；保留审批部门现有的水土保持方案技术评估、评审。</w:t>
            </w:r>
            <w:r>
              <w:rPr>
                <w:rFonts w:hint="default" w:ascii="Times New Roman" w:hAnsi="Times New Roman" w:eastAsia="仿宋_GB2312" w:cs="Times New Roman"/>
                <w:i w:val="0"/>
                <w:iCs w:val="0"/>
                <w:color w:val="000000"/>
                <w:kern w:val="0"/>
                <w:sz w:val="21"/>
                <w:szCs w:val="21"/>
                <w:highlight w:val="none"/>
                <w:u w:val="none"/>
                <w:lang w:val="en-US" w:eastAsia="zh-CN" w:bidi="ar"/>
              </w:rPr>
              <w:br w:type="textWrapping"/>
            </w:r>
            <w:r>
              <w:rPr>
                <w:rFonts w:hint="default" w:ascii="Times New Roman" w:hAnsi="Times New Roman" w:eastAsia="仿宋_GB2312" w:cs="Times New Roman"/>
                <w:i w:val="0"/>
                <w:iCs w:val="0"/>
                <w:color w:val="000000"/>
                <w:kern w:val="0"/>
                <w:sz w:val="21"/>
                <w:szCs w:val="21"/>
                <w:highlight w:val="none"/>
                <w:u w:val="none"/>
                <w:lang w:val="en-US" w:eastAsia="zh-CN" w:bidi="ar"/>
              </w:rPr>
              <w:t>主要理由：《安徽省人民政府关于贯彻落实国务院第一批清理规范行政审批中介服务事项的通知》（皖政〔2015〕135号）附件目录第30项。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atLeast"/>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非防洪建设项目洪水影响评价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洪水影响评价类审批</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i w:val="0"/>
                <w:iCs w:val="0"/>
                <w:color w:val="000000"/>
                <w:kern w:val="0"/>
                <w:sz w:val="21"/>
                <w:szCs w:val="21"/>
                <w:highlight w:val="none"/>
                <w:u w:val="none"/>
                <w:lang w:val="en-US" w:eastAsia="zh-CN" w:bidi="ar"/>
              </w:rPr>
              <w:t>申请人可按要求自行编制洪水影响评价报告，也可委托有关机构编制，审批部门不得以任何形式要求申请人必须委托特定中介机构提供服务；保留审批部门现有的洪水影响评价报告技术评估、评审。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NjA3NTA4YTM0Mzk5YmIyZTA4ZjM1NTQwYjY0YTkifQ=="/>
  </w:docVars>
  <w:rsids>
    <w:rsidRoot w:val="227F469A"/>
    <w:rsid w:val="227F469A"/>
    <w:rsid w:val="3A5F7E54"/>
    <w:rsid w:val="4FD2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2026-02-26T03:27:00Z</dcterms:created>
  <dc:creator>WPS_1650014307</dc:creator>
  <cp:lastModifiedBy>WPS_1650014307</cp:lastModifiedBy>
  <dcterms:modified xsi:type="dcterms:W3CDTF">2026-03-10T03:38:54Z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60BC6E8478E6491E8EB807E63634E594_11</vt:lpwstr>
  </property>
</Properties>
</file>